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alibri" w:cs="Calibri" w:eastAsia="Calibri" w:hAnsi="Calibri"/>
          <w:sz w:val="11"/>
          <w:szCs w:val="11"/>
          <w:color w:val="003366"/>
        </w:rPr>
        <w:t>TABLE OF CONTENTS</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30, 2026</w:t>
      </w:r>
    </w:p>
    <w:p>
      <w:pPr>
        <w:spacing w:after="0" w:line="19"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Registration Nos. 333-                ​</w:t>
      </w:r>
    </w:p>
    <w:p>
      <w:pPr>
        <w:spacing w:after="0" w:line="19"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333-           -01​</w:t>
      </w:r>
    </w:p>
    <w:p>
      <w:pPr>
        <w:spacing w:after="0" w:line="7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1905</wp:posOffset>
            </wp:positionV>
            <wp:extent cx="48240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35560</wp:posOffset>
            </wp:positionV>
            <wp:extent cx="48240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93345</wp:posOffset>
            </wp:positionV>
            <wp:extent cx="9620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76835</wp:posOffset>
            </wp:positionV>
            <wp:extent cx="962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51" w:lineRule="exact"/>
        <w:rPr>
          <w:sz w:val="24"/>
          <w:szCs w:val="24"/>
          <w:color w:val="auto"/>
        </w:rPr>
      </w:pPr>
    </w:p>
    <w:tbl>
      <w:tblPr>
        <w:tblLayout w:type="fixed"/>
        <w:tblInd w:w="700" w:type="dxa"/>
        <w:tblCellMar>
          <w:top w:w="0" w:type="dxa"/>
          <w:left w:w="0" w:type="dxa"/>
          <w:bottom w:w="0" w:type="dxa"/>
          <w:right w:w="0" w:type="dxa"/>
        </w:tblCellMar>
      </w:tblPr>
      <w:tr>
        <w:trPr>
          <w:trHeight w:val="149"/>
        </w:trPr>
        <w:tc>
          <w:tcPr>
            <w:tcW w:w="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280" w:type="dxa"/>
            <w:vAlign w:val="bottom"/>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ConocoPhillips</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tcPr>
          <w:p>
            <w:pPr>
              <w:spacing w:after="0"/>
              <w:rPr>
                <w:sz w:val="12"/>
                <w:szCs w:val="12"/>
                <w:color w:val="auto"/>
              </w:rPr>
            </w:pPr>
          </w:p>
        </w:tc>
        <w:tc>
          <w:tcPr>
            <w:tcW w:w="1100" w:type="dxa"/>
            <w:vAlign w:val="bottom"/>
          </w:tcPr>
          <w:p>
            <w:pPr>
              <w:jc w:val="center"/>
              <w:ind w:right="459"/>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 ​</w:t>
            </w:r>
          </w:p>
        </w:tc>
        <w:tc>
          <w:tcPr>
            <w:tcW w:w="2180" w:type="dxa"/>
            <w:vAlign w:val="bottom"/>
          </w:tcPr>
          <w:p>
            <w:pPr>
              <w:jc w:val="center"/>
              <w:ind w:left="159"/>
              <w:spacing w:after="0"/>
              <w:rPr>
                <w:sz w:val="20"/>
                <w:szCs w:val="20"/>
                <w:color w:val="auto"/>
              </w:rPr>
            </w:pPr>
            <w:r>
              <w:rPr>
                <w:rFonts w:ascii="Times New Roman" w:cs="Times New Roman" w:eastAsia="Times New Roman" w:hAnsi="Times New Roman"/>
                <w:sz w:val="13"/>
                <w:szCs w:val="13"/>
                <w:b w:val="1"/>
                <w:bCs w:val="1"/>
                <w:color w:val="auto"/>
                <w:w w:val="95"/>
              </w:rPr>
              <w:t>01-0562944</w:t>
            </w:r>
          </w:p>
        </w:tc>
        <w:tc>
          <w:tcPr>
            <w:tcW w:w="2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0"/>
        </w:trPr>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80" w:type="dxa"/>
            <w:vAlign w:val="bottom"/>
          </w:tcPr>
          <w:p>
            <w:pPr>
              <w:ind w:left="400"/>
              <w:spacing w:after="0" w:line="130" w:lineRule="exact"/>
              <w:rPr>
                <w:sz w:val="20"/>
                <w:szCs w:val="20"/>
                <w:color w:val="auto"/>
              </w:rPr>
            </w:pPr>
            <w:r>
              <w:rPr>
                <w:rFonts w:ascii="Times New Roman" w:cs="Times New Roman" w:eastAsia="Times New Roman" w:hAnsi="Times New Roman"/>
                <w:sz w:val="13"/>
                <w:szCs w:val="13"/>
                <w:b w:val="1"/>
                <w:bCs w:val="1"/>
                <w:color w:val="auto"/>
              </w:rPr>
              <w:t>ConocoPhillips Company</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tcPr>
          <w:p>
            <w:pPr>
              <w:spacing w:after="0"/>
              <w:rPr>
                <w:sz w:val="11"/>
                <w:szCs w:val="11"/>
                <w:color w:val="auto"/>
              </w:rPr>
            </w:pPr>
          </w:p>
        </w:tc>
        <w:tc>
          <w:tcPr>
            <w:tcW w:w="1100" w:type="dxa"/>
            <w:vAlign w:val="bottom"/>
          </w:tcPr>
          <w:p>
            <w:pPr>
              <w:jc w:val="center"/>
              <w:ind w:right="439"/>
              <w:spacing w:after="0" w:line="130" w:lineRule="exact"/>
              <w:rPr>
                <w:sz w:val="20"/>
                <w:szCs w:val="20"/>
                <w:color w:val="auto"/>
              </w:rPr>
            </w:pPr>
            <w:r>
              <w:rPr>
                <w:rFonts w:ascii="Times New Roman" w:cs="Times New Roman" w:eastAsia="Times New Roman" w:hAnsi="Times New Roman"/>
                <w:sz w:val="13"/>
                <w:szCs w:val="13"/>
                <w:b w:val="1"/>
                <w:bCs w:val="1"/>
                <w:color w:val="auto"/>
                <w:w w:val="90"/>
              </w:rPr>
              <w:t>Delaware</w:t>
            </w: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2180" w:type="dxa"/>
            <w:vAlign w:val="bottom"/>
          </w:tcPr>
          <w:p>
            <w:pPr>
              <w:jc w:val="right"/>
              <w:ind w:right="599"/>
              <w:spacing w:after="0" w:line="130" w:lineRule="exact"/>
              <w:rPr>
                <w:sz w:val="20"/>
                <w:szCs w:val="20"/>
                <w:color w:val="auto"/>
              </w:rPr>
            </w:pPr>
            <w:r>
              <w:rPr>
                <w:rFonts w:ascii="Times New Roman" w:cs="Times New Roman" w:eastAsia="Times New Roman" w:hAnsi="Times New Roman"/>
                <w:sz w:val="13"/>
                <w:szCs w:val="13"/>
                <w:b w:val="1"/>
                <w:bCs w:val="1"/>
                <w:color w:val="auto"/>
              </w:rPr>
              <w:t>73-0400345</w:t>
            </w:r>
          </w:p>
        </w:tc>
        <w:tc>
          <w:tcPr>
            <w:tcW w:w="2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160" w:type="dxa"/>
            <w:vAlign w:val="bottom"/>
            <w:vMerge w:val="continue"/>
          </w:tcPr>
          <w:p>
            <w:pPr>
              <w:spacing w:after="0"/>
              <w:rPr>
                <w:sz w:val="10"/>
                <w:szCs w:val="10"/>
                <w:color w:val="auto"/>
              </w:rPr>
            </w:pPr>
          </w:p>
        </w:tc>
        <w:tc>
          <w:tcPr>
            <w:tcW w:w="2280" w:type="dxa"/>
            <w:vAlign w:val="bottom"/>
          </w:tcPr>
          <w:p>
            <w:pPr>
              <w:jc w:val="center"/>
              <w:ind w:right="140"/>
              <w:spacing w:after="0" w:line="116" w:lineRule="exact"/>
              <w:rPr>
                <w:sz w:val="20"/>
                <w:szCs w:val="20"/>
                <w:color w:val="auto"/>
              </w:rPr>
            </w:pPr>
            <w:r>
              <w:rPr>
                <w:rFonts w:ascii="Times New Roman" w:cs="Times New Roman" w:eastAsia="Times New Roman" w:hAnsi="Times New Roman"/>
                <w:sz w:val="11"/>
                <w:szCs w:val="11"/>
                <w:color w:val="auto"/>
              </w:rPr>
              <w:t>(Exact name of each registrant</w:t>
            </w:r>
          </w:p>
        </w:tc>
        <w:tc>
          <w:tcPr>
            <w:tcW w:w="360" w:type="dxa"/>
            <w:vAlign w:val="bottom"/>
            <w:vMerge w:val="continue"/>
          </w:tcPr>
          <w:p>
            <w:pPr>
              <w:spacing w:after="0"/>
              <w:rPr>
                <w:sz w:val="10"/>
                <w:szCs w:val="10"/>
                <w:color w:val="auto"/>
              </w:rPr>
            </w:pPr>
          </w:p>
        </w:tc>
        <w:tc>
          <w:tcPr>
            <w:tcW w:w="180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(State or other jurisdiction</w:t>
            </w:r>
          </w:p>
        </w:tc>
        <w:tc>
          <w:tcPr>
            <w:tcW w:w="560" w:type="dxa"/>
            <w:vAlign w:val="bottom"/>
            <w:vMerge w:val="continue"/>
          </w:tcPr>
          <w:p>
            <w:pPr>
              <w:spacing w:after="0"/>
              <w:rPr>
                <w:sz w:val="10"/>
                <w:szCs w:val="10"/>
                <w:color w:val="auto"/>
              </w:rPr>
            </w:pPr>
          </w:p>
        </w:tc>
        <w:tc>
          <w:tcPr>
            <w:tcW w:w="2180" w:type="dxa"/>
            <w:vAlign w:val="bottom"/>
          </w:tcPr>
          <w:p>
            <w:pPr>
              <w:jc w:val="center"/>
              <w:ind w:left="159"/>
              <w:spacing w:after="0" w:line="116" w:lineRule="exact"/>
              <w:rPr>
                <w:sz w:val="20"/>
                <w:szCs w:val="20"/>
                <w:color w:val="auto"/>
              </w:rPr>
            </w:pPr>
            <w:r>
              <w:rPr>
                <w:rFonts w:ascii="Times New Roman" w:cs="Times New Roman" w:eastAsia="Times New Roman" w:hAnsi="Times New Roman"/>
                <w:sz w:val="11"/>
                <w:szCs w:val="11"/>
                <w:color w:val="auto"/>
              </w:rPr>
              <w:t>(I.R.S. Employer</w:t>
            </w: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2280" w:type="dxa"/>
            <w:vAlign w:val="bottom"/>
          </w:tcPr>
          <w:p>
            <w:pPr>
              <w:jc w:val="center"/>
              <w:ind w:right="100"/>
              <w:spacing w:after="0"/>
              <w:rPr>
                <w:sz w:val="20"/>
                <w:szCs w:val="20"/>
                <w:color w:val="auto"/>
              </w:rPr>
            </w:pPr>
            <w:r>
              <w:rPr>
                <w:rFonts w:ascii="Times New Roman" w:cs="Times New Roman" w:eastAsia="Times New Roman" w:hAnsi="Times New Roman"/>
                <w:sz w:val="11"/>
                <w:szCs w:val="11"/>
                <w:color w:val="auto"/>
              </w:rPr>
              <w:t>as specified in its charter)</w:t>
            </w:r>
          </w:p>
        </w:tc>
        <w:tc>
          <w:tcPr>
            <w:tcW w:w="360" w:type="dxa"/>
            <w:vAlign w:val="bottom"/>
          </w:tcPr>
          <w:p>
            <w:pPr>
              <w:spacing w:after="0"/>
              <w:rPr>
                <w:sz w:val="12"/>
                <w:szCs w:val="12"/>
                <w:color w:val="auto"/>
              </w:rPr>
            </w:pPr>
          </w:p>
        </w:tc>
        <w:tc>
          <w:tcPr>
            <w:tcW w:w="1800" w:type="dxa"/>
            <w:vAlign w:val="bottom"/>
            <w:gridSpan w:val="2"/>
          </w:tcPr>
          <w:p>
            <w:pPr>
              <w:jc w:val="center"/>
              <w:ind w:left="144"/>
              <w:spacing w:after="0"/>
              <w:rPr>
                <w:sz w:val="20"/>
                <w:szCs w:val="20"/>
                <w:color w:val="auto"/>
              </w:rPr>
            </w:pPr>
            <w:r>
              <w:rPr>
                <w:rFonts w:ascii="Times New Roman" w:cs="Times New Roman" w:eastAsia="Times New Roman" w:hAnsi="Times New Roman"/>
                <w:sz w:val="11"/>
                <w:szCs w:val="11"/>
                <w:color w:val="auto"/>
              </w:rPr>
              <w:t>of incorporation or organization)</w:t>
            </w:r>
          </w:p>
        </w:tc>
        <w:tc>
          <w:tcPr>
            <w:tcW w:w="560" w:type="dxa"/>
            <w:vAlign w:val="bottom"/>
          </w:tcPr>
          <w:p>
            <w:pPr>
              <w:spacing w:after="0"/>
              <w:rPr>
                <w:sz w:val="12"/>
                <w:szCs w:val="12"/>
                <w:color w:val="auto"/>
              </w:rPr>
            </w:pPr>
          </w:p>
        </w:tc>
        <w:tc>
          <w:tcPr>
            <w:tcW w:w="2180" w:type="dxa"/>
            <w:vAlign w:val="bottom"/>
          </w:tcPr>
          <w:p>
            <w:pPr>
              <w:jc w:val="center"/>
              <w:ind w:left="199"/>
              <w:spacing w:after="0"/>
              <w:rPr>
                <w:sz w:val="20"/>
                <w:szCs w:val="20"/>
                <w:color w:val="auto"/>
              </w:rPr>
            </w:pPr>
            <w:r>
              <w:rPr>
                <w:rFonts w:ascii="Times New Roman" w:cs="Times New Roman" w:eastAsia="Times New Roman" w:hAnsi="Times New Roman"/>
                <w:sz w:val="11"/>
                <w:szCs w:val="11"/>
                <w:color w:val="auto"/>
              </w:rPr>
              <w:t>Identification Number)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180" w:type="dxa"/>
            <w:vAlign w:val="bottom"/>
          </w:tcPr>
          <w:p>
            <w:pPr>
              <w:jc w:val="center"/>
              <w:ind w:right="1019"/>
              <w:spacing w:after="0"/>
              <w:rPr>
                <w:sz w:val="20"/>
                <w:szCs w:val="20"/>
                <w:color w:val="auto"/>
              </w:rPr>
            </w:pPr>
            <w:r>
              <w:rPr>
                <w:rFonts w:ascii="Times New Roman" w:cs="Times New Roman" w:eastAsia="Times New Roman" w:hAnsi="Times New Roman"/>
                <w:sz w:val="13"/>
                <w:szCs w:val="13"/>
                <w:b w:val="1"/>
                <w:bCs w:val="1"/>
                <w:color w:val="auto"/>
                <w:w w:val="93"/>
              </w:rPr>
              <w:t>Kelly B. Rose</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740" w:type="dxa"/>
            <w:vAlign w:val="bottom"/>
            <w:gridSpan w:val="2"/>
          </w:tcPr>
          <w:p>
            <w:pPr>
              <w:jc w:val="center"/>
              <w:ind w:right="439"/>
              <w:spacing w:after="0" w:line="126" w:lineRule="exact"/>
              <w:rPr>
                <w:sz w:val="20"/>
                <w:szCs w:val="20"/>
                <w:color w:val="auto"/>
              </w:rPr>
            </w:pPr>
            <w:r>
              <w:rPr>
                <w:rFonts w:ascii="Times New Roman" w:cs="Times New Roman" w:eastAsia="Times New Roman" w:hAnsi="Times New Roman"/>
                <w:sz w:val="13"/>
                <w:szCs w:val="13"/>
                <w:b w:val="1"/>
                <w:bCs w:val="1"/>
                <w:color w:val="auto"/>
                <w:w w:val="92"/>
              </w:rPr>
              <w:t>Senior Vice President, Legal,</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740" w:type="dxa"/>
            <w:vAlign w:val="bottom"/>
            <w:gridSpan w:val="2"/>
          </w:tcPr>
          <w:p>
            <w:pPr>
              <w:jc w:val="center"/>
              <w:ind w:right="459"/>
              <w:spacing w:after="0" w:line="126" w:lineRule="exact"/>
              <w:rPr>
                <w:sz w:val="20"/>
                <w:szCs w:val="20"/>
                <w:color w:val="auto"/>
              </w:rPr>
            </w:pPr>
            <w:r>
              <w:rPr>
                <w:rFonts w:ascii="Times New Roman" w:cs="Times New Roman" w:eastAsia="Times New Roman" w:hAnsi="Times New Roman"/>
                <w:sz w:val="13"/>
                <w:szCs w:val="13"/>
                <w:b w:val="1"/>
                <w:bCs w:val="1"/>
                <w:color w:val="auto"/>
                <w:w w:val="92"/>
              </w:rPr>
              <w:t>General Counsel and Corporate Secretary</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2640" w:type="dxa"/>
            <w:vAlign w:val="bottom"/>
            <w:gridSpan w:val="2"/>
            <w:vMerge w:val="restart"/>
          </w:tcPr>
          <w:p>
            <w:pPr>
              <w:jc w:val="center"/>
              <w:ind w:left="680"/>
              <w:spacing w:after="0"/>
              <w:rPr>
                <w:sz w:val="20"/>
                <w:szCs w:val="20"/>
                <w:color w:val="auto"/>
              </w:rPr>
            </w:pPr>
            <w:r>
              <w:rPr>
                <w:rFonts w:ascii="Times New Roman" w:cs="Times New Roman" w:eastAsia="Times New Roman" w:hAnsi="Times New Roman"/>
                <w:sz w:val="13"/>
                <w:szCs w:val="13"/>
                <w:b w:val="1"/>
                <w:bCs w:val="1"/>
                <w:color w:val="auto"/>
                <w:w w:val="92"/>
              </w:rPr>
              <w:t>925 N. Eldridge Parkway</w:t>
            </w: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180" w:type="dxa"/>
            <w:vAlign w:val="bottom"/>
          </w:tcPr>
          <w:p>
            <w:pPr>
              <w:jc w:val="center"/>
              <w:ind w:right="1019"/>
              <w:spacing w:after="0" w:line="126" w:lineRule="exact"/>
              <w:rPr>
                <w:sz w:val="20"/>
                <w:szCs w:val="20"/>
                <w:color w:val="auto"/>
              </w:rPr>
            </w:pPr>
            <w:r>
              <w:rPr>
                <w:rFonts w:ascii="Times New Roman" w:cs="Times New Roman" w:eastAsia="Times New Roman" w:hAnsi="Times New Roman"/>
                <w:sz w:val="13"/>
                <w:szCs w:val="13"/>
                <w:b w:val="1"/>
                <w:bCs w:val="1"/>
                <w:color w:val="auto"/>
                <w:w w:val="93"/>
              </w:rPr>
              <w:t>ConocoPhillips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740" w:type="dxa"/>
            <w:vAlign w:val="bottom"/>
            <w:gridSpan w:val="2"/>
          </w:tcPr>
          <w:p>
            <w:pPr>
              <w:jc w:val="center"/>
              <w:ind w:right="459"/>
              <w:spacing w:after="0" w:line="126" w:lineRule="exact"/>
              <w:rPr>
                <w:sz w:val="20"/>
                <w:szCs w:val="20"/>
                <w:color w:val="auto"/>
              </w:rPr>
            </w:pPr>
            <w:r>
              <w:rPr>
                <w:rFonts w:ascii="Times New Roman" w:cs="Times New Roman" w:eastAsia="Times New Roman" w:hAnsi="Times New Roman"/>
                <w:sz w:val="13"/>
                <w:szCs w:val="13"/>
                <w:b w:val="1"/>
                <w:bCs w:val="1"/>
                <w:color w:val="auto"/>
                <w:w w:val="92"/>
              </w:rPr>
              <w:t>925 N. Eldridge Parkway</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2280" w:type="dxa"/>
            <w:vAlign w:val="bottom"/>
          </w:tcPr>
          <w:p>
            <w:pPr>
              <w:ind w:left="1140"/>
              <w:spacing w:after="0" w:line="126" w:lineRule="exact"/>
              <w:rPr>
                <w:sz w:val="20"/>
                <w:szCs w:val="20"/>
                <w:color w:val="auto"/>
              </w:rPr>
            </w:pPr>
            <w:r>
              <w:rPr>
                <w:rFonts w:ascii="Times New Roman" w:cs="Times New Roman" w:eastAsia="Times New Roman" w:hAnsi="Times New Roman"/>
                <w:sz w:val="13"/>
                <w:szCs w:val="13"/>
                <w:b w:val="1"/>
                <w:bCs w:val="1"/>
                <w:color w:val="auto"/>
                <w:w w:val="91"/>
              </w:rPr>
              <w:t>Houston, Texas 77079</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180" w:type="dxa"/>
            <w:vAlign w:val="bottom"/>
          </w:tcPr>
          <w:p>
            <w:pPr>
              <w:jc w:val="right"/>
              <w:ind w:right="979"/>
              <w:spacing w:after="0" w:line="126" w:lineRule="exact"/>
              <w:rPr>
                <w:sz w:val="20"/>
                <w:szCs w:val="20"/>
                <w:color w:val="auto"/>
              </w:rPr>
            </w:pPr>
            <w:r>
              <w:rPr>
                <w:rFonts w:ascii="Times New Roman" w:cs="Times New Roman" w:eastAsia="Times New Roman" w:hAnsi="Times New Roman"/>
                <w:sz w:val="13"/>
                <w:szCs w:val="13"/>
                <w:b w:val="1"/>
                <w:bCs w:val="1"/>
                <w:color w:val="auto"/>
                <w:w w:val="91"/>
              </w:rPr>
              <w:t>Houston, Texas 77079</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28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(281) 293-1000</w:t>
            </w: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tcPr>
          <w:p>
            <w:pPr>
              <w:jc w:val="right"/>
              <w:ind w:right="1139"/>
              <w:spacing w:after="0"/>
              <w:rPr>
                <w:sz w:val="20"/>
                <w:szCs w:val="20"/>
                <w:color w:val="auto"/>
              </w:rPr>
            </w:pPr>
            <w:r>
              <w:rPr>
                <w:rFonts w:ascii="Times New Roman" w:cs="Times New Roman" w:eastAsia="Times New Roman" w:hAnsi="Times New Roman"/>
                <w:sz w:val="13"/>
                <w:szCs w:val="13"/>
                <w:b w:val="1"/>
                <w:bCs w:val="1"/>
                <w:color w:val="auto"/>
              </w:rPr>
              <w:t>(281) 293-1000</w:t>
            </w: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(Address, including zip code, and telephone number,</w:t>
            </w:r>
          </w:p>
        </w:tc>
        <w:tc>
          <w:tcPr>
            <w:tcW w:w="3840" w:type="dxa"/>
            <w:vAlign w:val="bottom"/>
            <w:gridSpan w:val="3"/>
          </w:tcPr>
          <w:p>
            <w:pPr>
              <w:jc w:val="center"/>
              <w:ind w:left="519"/>
              <w:spacing w:after="0"/>
              <w:rPr>
                <w:sz w:val="20"/>
                <w:szCs w:val="20"/>
                <w:color w:val="auto"/>
              </w:rPr>
            </w:pPr>
            <w:r>
              <w:rPr>
                <w:rFonts w:ascii="Times New Roman" w:cs="Times New Roman" w:eastAsia="Times New Roman" w:hAnsi="Times New Roman"/>
                <w:sz w:val="11"/>
                <w:szCs w:val="11"/>
                <w:color w:val="auto"/>
              </w:rPr>
              <w:t>(Name, address, including zip code, and telephone number,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including area code, of each registrant’s principal executive offices)</w:t>
            </w:r>
          </w:p>
        </w:tc>
        <w:tc>
          <w:tcPr>
            <w:tcW w:w="1100" w:type="dxa"/>
            <w:vAlign w:val="bottom"/>
          </w:tcPr>
          <w:p>
            <w:pPr>
              <w:jc w:val="center"/>
              <w:ind w:right="419"/>
              <w:spacing w:after="0"/>
              <w:rPr>
                <w:sz w:val="20"/>
                <w:szCs w:val="20"/>
                <w:color w:val="auto"/>
              </w:rPr>
            </w:pPr>
            <w:r>
              <w:rPr>
                <w:rFonts w:ascii="Times New Roman" w:cs="Times New Roman" w:eastAsia="Times New Roman" w:hAnsi="Times New Roman"/>
                <w:sz w:val="13"/>
                <w:szCs w:val="13"/>
                <w:b w:val="1"/>
                <w:bCs w:val="1"/>
                <w:color w:val="auto"/>
              </w:rPr>
              <w:t>​ ​</w:t>
            </w:r>
          </w:p>
        </w:tc>
        <w:tc>
          <w:tcPr>
            <w:tcW w:w="2740" w:type="dxa"/>
            <w:vAlign w:val="bottom"/>
            <w:gridSpan w:val="2"/>
          </w:tcPr>
          <w:p>
            <w:pPr>
              <w:jc w:val="center"/>
              <w:ind w:right="419"/>
              <w:spacing w:after="0"/>
              <w:rPr>
                <w:sz w:val="20"/>
                <w:szCs w:val="20"/>
                <w:color w:val="auto"/>
              </w:rPr>
            </w:pPr>
            <w:r>
              <w:rPr>
                <w:rFonts w:ascii="Times New Roman" w:cs="Times New Roman" w:eastAsia="Times New Roman" w:hAnsi="Times New Roman"/>
                <w:sz w:val="11"/>
                <w:szCs w:val="11"/>
                <w:color w:val="auto"/>
              </w:rPr>
              <w:t>including area code, of agent for service)</w:t>
            </w:r>
          </w:p>
        </w:tc>
        <w:tc>
          <w:tcPr>
            <w:tcW w:w="2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102870</wp:posOffset>
            </wp:positionV>
            <wp:extent cx="9620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Copy to:</w:t>
      </w:r>
    </w:p>
    <w:p>
      <w:pPr>
        <w:spacing w:after="0" w:line="6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Keith M. Townsend</w:t>
      </w:r>
    </w:p>
    <w:p>
      <w:pPr>
        <w:spacing w:after="0" w:line="1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Trevor G. Pinkerton</w:t>
      </w:r>
    </w:p>
    <w:p>
      <w:pPr>
        <w:ind w:left="3920"/>
        <w:spacing w:after="0" w:line="236" w:lineRule="auto"/>
        <w:rPr>
          <w:sz w:val="20"/>
          <w:szCs w:val="20"/>
          <w:color w:val="auto"/>
        </w:rPr>
      </w:pPr>
      <w:r>
        <w:rPr>
          <w:rFonts w:ascii="Times New Roman" w:cs="Times New Roman" w:eastAsia="Times New Roman" w:hAnsi="Times New Roman"/>
          <w:sz w:val="13"/>
          <w:szCs w:val="13"/>
          <w:b w:val="1"/>
          <w:bCs w:val="1"/>
          <w:color w:val="auto"/>
        </w:rPr>
        <w:t>King &amp; Spalding LLP</w:t>
      </w:r>
    </w:p>
    <w:p>
      <w:pPr>
        <w:ind w:left="3800"/>
        <w:spacing w:after="0" w:line="237" w:lineRule="auto"/>
        <w:rPr>
          <w:sz w:val="20"/>
          <w:szCs w:val="20"/>
          <w:color w:val="auto"/>
        </w:rPr>
      </w:pPr>
      <w:r>
        <w:rPr>
          <w:rFonts w:ascii="Times New Roman" w:cs="Times New Roman" w:eastAsia="Times New Roman" w:hAnsi="Times New Roman"/>
          <w:sz w:val="13"/>
          <w:szCs w:val="13"/>
          <w:b w:val="1"/>
          <w:bCs w:val="1"/>
          <w:color w:val="auto"/>
        </w:rPr>
        <w:t>1180 Peachtree Street, N.E.</w:t>
      </w:r>
    </w:p>
    <w:p>
      <w:pPr>
        <w:ind w:left="3900"/>
        <w:spacing w:after="0" w:line="236" w:lineRule="auto"/>
        <w:rPr>
          <w:sz w:val="20"/>
          <w:szCs w:val="20"/>
          <w:color w:val="auto"/>
        </w:rPr>
      </w:pPr>
      <w:r>
        <w:rPr>
          <w:rFonts w:ascii="Times New Roman" w:cs="Times New Roman" w:eastAsia="Times New Roman" w:hAnsi="Times New Roman"/>
          <w:sz w:val="13"/>
          <w:szCs w:val="13"/>
          <w:b w:val="1"/>
          <w:bCs w:val="1"/>
          <w:color w:val="auto"/>
        </w:rPr>
        <w:t>Atlanta, Georgia 30309</w:t>
      </w:r>
    </w:p>
    <w:p>
      <w:pPr>
        <w:ind w:left="4120"/>
        <w:spacing w:after="0"/>
        <w:rPr>
          <w:sz w:val="20"/>
          <w:szCs w:val="20"/>
          <w:color w:val="auto"/>
        </w:rPr>
      </w:pPr>
      <w:r>
        <w:rPr>
          <w:rFonts w:ascii="Times New Roman" w:cs="Times New Roman" w:eastAsia="Times New Roman" w:hAnsi="Times New Roman"/>
          <w:sz w:val="13"/>
          <w:szCs w:val="13"/>
          <w:b w:val="1"/>
          <w:bCs w:val="1"/>
          <w:color w:val="auto"/>
        </w:rPr>
        <w:t>(404) 572-4600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83185</wp:posOffset>
            </wp:positionV>
            <wp:extent cx="9620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25" w:lineRule="exact"/>
        <w:rPr>
          <w:sz w:val="24"/>
          <w:szCs w:val="24"/>
          <w:color w:val="auto"/>
        </w:rPr>
      </w:pPr>
    </w:p>
    <w:p>
      <w:pPr>
        <w:ind w:left="700" w:right="1299" w:firstLine="280"/>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Statement.</w:t>
      </w:r>
    </w:p>
    <w:p>
      <w:pPr>
        <w:spacing w:after="0" w:line="43" w:lineRule="exact"/>
        <w:rPr>
          <w:sz w:val="24"/>
          <w:szCs w:val="24"/>
          <w:color w:val="auto"/>
        </w:rPr>
      </w:pPr>
    </w:p>
    <w:p>
      <w:pPr>
        <w:ind w:left="700" w:right="77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3"/>
          <w:szCs w:val="13"/>
          <w:color w:val="auto"/>
        </w:rPr>
        <w:t>☐</w:t>
      </w:r>
    </w:p>
    <w:p>
      <w:pPr>
        <w:spacing w:after="0" w:line="26" w:lineRule="exact"/>
        <w:rPr>
          <w:sz w:val="24"/>
          <w:szCs w:val="24"/>
          <w:color w:val="auto"/>
        </w:rPr>
      </w:pPr>
    </w:p>
    <w:p>
      <w:pPr>
        <w:ind w:left="700" w:right="919" w:firstLine="280"/>
        <w:spacing w:after="0" w:line="16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ind w:left="700" w:right="83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ind w:left="700" w:right="93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700" w:right="107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ind w:left="700" w:right="75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ind w:left="700" w:right="819" w:firstLine="280"/>
        <w:spacing w:after="0" w:line="24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98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 ​</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Accelerated filer</w:t>
            </w:r>
          </w:p>
        </w:tc>
        <w:tc>
          <w:tcPr>
            <w:tcW w:w="1060" w:type="dxa"/>
            <w:vAlign w:val="bottom"/>
            <w:vMerge w:val="restart"/>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tcPr>
          <w:p>
            <w:pPr>
              <w:ind w:left="8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
        </w:trPr>
        <w:tc>
          <w:tcPr>
            <w:tcW w:w="128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118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​Non-accelerated filer</w:t>
            </w:r>
          </w:p>
        </w:tc>
        <w:tc>
          <w:tcPr>
            <w:tcW w:w="118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700" w:type="dxa"/>
            <w:vAlign w:val="bottom"/>
            <w:gridSpan w:val="2"/>
          </w:tcPr>
          <w:p>
            <w:pPr>
              <w:ind w:left="980"/>
              <w:spacing w:after="0" w:line="139" w:lineRule="exact"/>
              <w:rPr>
                <w:sz w:val="20"/>
                <w:szCs w:val="20"/>
                <w:color w:val="auto"/>
              </w:rPr>
            </w:pPr>
            <w:r>
              <w:rPr>
                <w:rFonts w:ascii="Times New Roman" w:cs="Times New Roman" w:eastAsia="Times New Roman" w:hAnsi="Times New Roman"/>
                <w:sz w:val="13"/>
                <w:szCs w:val="13"/>
                <w:color w:val="auto"/>
              </w:rPr>
              <w:t>​ ​ Smaller reporting company</w:t>
            </w:r>
          </w:p>
        </w:tc>
        <w:tc>
          <w:tcPr>
            <w:tcW w:w="10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tcPr>
          <w:p>
            <w:pPr>
              <w:ind w:left="8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700" w:right="121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50165</wp:posOffset>
            </wp:positionV>
            <wp:extent cx="48240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7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1905</wp:posOffset>
            </wp:positionV>
            <wp:extent cx="482409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196215</wp:posOffset>
            </wp:positionV>
            <wp:extent cx="533082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102235</wp:posOffset>
            </wp:positionV>
            <wp:extent cx="1924050" cy="601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4050"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ConocoPhillips</w:t>
            </w:r>
          </w:p>
        </w:tc>
        <w:tc>
          <w:tcPr>
            <w:tcW w:w="1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ConocoPhillips</w:t>
            </w:r>
          </w:p>
        </w:tc>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rPr>
              <w:t>​​ ConocoPhillips Company ​</w:t>
            </w:r>
          </w:p>
        </w:tc>
        <w:tc>
          <w:tcPr>
            <w:tcW w:w="0" w:type="dxa"/>
            <w:vAlign w:val="bottom"/>
          </w:tcPr>
          <w:p>
            <w:pPr>
              <w:spacing w:after="0"/>
              <w:rPr>
                <w:sz w:val="1"/>
                <w:szCs w:val="1"/>
                <w:color w:val="auto"/>
              </w:rPr>
            </w:pPr>
          </w:p>
        </w:tc>
      </w:tr>
      <w:tr>
        <w:trPr>
          <w:trHeight w:val="401"/>
        </w:trPr>
        <w:tc>
          <w:tcPr>
            <w:tcW w:w="2460" w:type="dxa"/>
            <w:vAlign w:val="bottom"/>
            <w:gridSpan w:val="2"/>
          </w:tcPr>
          <w:p>
            <w:pPr>
              <w:jc w:val="center"/>
              <w:spacing w:after="0" w:line="400" w:lineRule="exact"/>
              <w:rPr>
                <w:sz w:val="20"/>
                <w:szCs w:val="20"/>
                <w:color w:val="auto"/>
              </w:rPr>
            </w:pPr>
            <w:r>
              <w:rPr>
                <w:rFonts w:ascii="Times New Roman" w:cs="Times New Roman" w:eastAsia="Times New Roman" w:hAnsi="Times New Roman"/>
                <w:sz w:val="39"/>
                <w:szCs w:val="39"/>
                <w:b w:val="1"/>
                <w:bCs w:val="1"/>
                <w:color w:val="auto"/>
                <w:w w:val="95"/>
                <w:vertAlign w:val="superscript"/>
              </w:rPr>
              <w:t>​</w:t>
            </w:r>
            <w:r>
              <w:rPr>
                <w:rFonts w:ascii="Times New Roman" w:cs="Times New Roman" w:eastAsia="Times New Roman" w:hAnsi="Times New Roman"/>
                <w:sz w:val="20"/>
                <w:szCs w:val="20"/>
                <w:b w:val="1"/>
                <w:bCs w:val="1"/>
                <w:color w:val="auto"/>
                <w:w w:val="95"/>
              </w:rPr>
              <w:t>Subordinated Debt Securities</w:t>
            </w:r>
          </w:p>
        </w:tc>
        <w:tc>
          <w:tcPr>
            <w:tcW w:w="1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2420" w:type="dxa"/>
            <w:vAlign w:val="bottom"/>
          </w:tcPr>
          <w:p>
            <w:pPr>
              <w:jc w:val="center"/>
              <w:ind w:right="17"/>
              <w:spacing w:after="0"/>
              <w:rPr>
                <w:sz w:val="20"/>
                <w:szCs w:val="20"/>
                <w:color w:val="auto"/>
              </w:rPr>
            </w:pPr>
            <w:r>
              <w:rPr>
                <w:rFonts w:ascii="Times New Roman" w:cs="Times New Roman" w:eastAsia="Times New Roman" w:hAnsi="Times New Roman"/>
                <w:sz w:val="20"/>
                <w:szCs w:val="20"/>
                <w:b w:val="1"/>
                <w:bCs w:val="1"/>
                <w:color w:val="auto"/>
                <w:w w:val="93"/>
              </w:rPr>
              <w:t>Senior Debt Securities</w:t>
            </w: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3"/>
              </w:rPr>
              <w:t>Senior Debt Securities</w:t>
            </w:r>
          </w:p>
        </w:tc>
        <w:tc>
          <w:tcPr>
            <w:tcW w:w="2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4"/>
              </w:rPr>
              <w:t>Common Stock</w:t>
            </w:r>
          </w:p>
        </w:tc>
        <w:tc>
          <w:tcPr>
            <w:tcW w:w="160" w:type="dxa"/>
            <w:vAlign w:val="bottom"/>
          </w:tcPr>
          <w:p>
            <w:pPr>
              <w:spacing w:after="0"/>
              <w:rPr>
                <w:sz w:val="17"/>
                <w:szCs w:val="17"/>
                <w:color w:val="auto"/>
              </w:rPr>
            </w:pPr>
          </w:p>
        </w:tc>
        <w:tc>
          <w:tcPr>
            <w:tcW w:w="24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3"/>
              </w:rPr>
              <w:t>guaranteed as</w:t>
            </w:r>
          </w:p>
        </w:tc>
        <w:tc>
          <w:tcPr>
            <w:tcW w:w="260" w:type="dxa"/>
            <w:vAlign w:val="bottom"/>
          </w:tcPr>
          <w:p>
            <w:pPr>
              <w:spacing w:after="0"/>
              <w:rPr>
                <w:sz w:val="17"/>
                <w:szCs w:val="17"/>
                <w:color w:val="auto"/>
              </w:rPr>
            </w:pPr>
          </w:p>
        </w:tc>
        <w:tc>
          <w:tcPr>
            <w:tcW w:w="2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3"/>
              </w:rPr>
              <w:t>guaranteed as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4"/>
              </w:rPr>
              <w:t>Preferred Stock</w:t>
            </w:r>
          </w:p>
        </w:tc>
        <w:tc>
          <w:tcPr>
            <w:tcW w:w="160" w:type="dxa"/>
            <w:vAlign w:val="bottom"/>
          </w:tcPr>
          <w:p>
            <w:pPr>
              <w:spacing w:after="0"/>
              <w:rPr>
                <w:sz w:val="17"/>
                <w:szCs w:val="17"/>
                <w:color w:val="auto"/>
              </w:rPr>
            </w:pPr>
          </w:p>
        </w:tc>
        <w:tc>
          <w:tcPr>
            <w:tcW w:w="2420" w:type="dxa"/>
            <w:vAlign w:val="bottom"/>
          </w:tcPr>
          <w:p>
            <w:pPr>
              <w:jc w:val="center"/>
              <w:ind w:right="17"/>
              <w:spacing w:after="0" w:line="200" w:lineRule="exact"/>
              <w:rPr>
                <w:sz w:val="20"/>
                <w:szCs w:val="20"/>
                <w:color w:val="auto"/>
              </w:rPr>
            </w:pPr>
            <w:r>
              <w:rPr>
                <w:rFonts w:ascii="Times New Roman" w:cs="Times New Roman" w:eastAsia="Times New Roman" w:hAnsi="Times New Roman"/>
                <w:sz w:val="20"/>
                <w:szCs w:val="20"/>
                <w:b w:val="1"/>
                <w:bCs w:val="1"/>
                <w:color w:val="auto"/>
                <w:w w:val="94"/>
              </w:rPr>
              <w:t>described in</w:t>
            </w:r>
          </w:p>
        </w:tc>
        <w:tc>
          <w:tcPr>
            <w:tcW w:w="260" w:type="dxa"/>
            <w:vAlign w:val="bottom"/>
          </w:tcPr>
          <w:p>
            <w:pPr>
              <w:spacing w:after="0"/>
              <w:rPr>
                <w:sz w:val="17"/>
                <w:szCs w:val="17"/>
                <w:color w:val="auto"/>
              </w:rPr>
            </w:pPr>
          </w:p>
        </w:tc>
        <w:tc>
          <w:tcPr>
            <w:tcW w:w="2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4"/>
              </w:rPr>
              <w:t>described in</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3"/>
              </w:rPr>
              <w:t>Warrants</w:t>
            </w:r>
          </w:p>
        </w:tc>
        <w:tc>
          <w:tcPr>
            <w:tcW w:w="160" w:type="dxa"/>
            <w:vAlign w:val="bottom"/>
          </w:tcPr>
          <w:p>
            <w:pPr>
              <w:spacing w:after="0"/>
              <w:rPr>
                <w:sz w:val="16"/>
                <w:szCs w:val="16"/>
                <w:color w:val="auto"/>
              </w:rPr>
            </w:pPr>
          </w:p>
        </w:tc>
        <w:tc>
          <w:tcPr>
            <w:tcW w:w="242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3"/>
              </w:rPr>
              <w:t>this prospectus by</w:t>
            </w:r>
          </w:p>
        </w:tc>
        <w:tc>
          <w:tcPr>
            <w:tcW w:w="260" w:type="dxa"/>
            <w:vAlign w:val="bottom"/>
          </w:tcPr>
          <w:p>
            <w:pPr>
              <w:spacing w:after="0"/>
              <w:rPr>
                <w:sz w:val="16"/>
                <w:szCs w:val="16"/>
                <w:color w:val="auto"/>
              </w:rPr>
            </w:pPr>
          </w:p>
        </w:tc>
        <w:tc>
          <w:tcPr>
            <w:tcW w:w="210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3"/>
              </w:rPr>
              <w:t>this prospectus by</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380" w:type="dxa"/>
            <w:vAlign w:val="bottom"/>
          </w:tcPr>
          <w:p>
            <w:pPr>
              <w:jc w:val="center"/>
              <w:spacing w:after="0" w:line="168" w:lineRule="exact"/>
              <w:rPr>
                <w:sz w:val="20"/>
                <w:szCs w:val="20"/>
                <w:color w:val="auto"/>
              </w:rPr>
            </w:pPr>
            <w:r>
              <w:rPr>
                <w:rFonts w:ascii="Times New Roman" w:cs="Times New Roman" w:eastAsia="Times New Roman" w:hAnsi="Times New Roman"/>
                <w:sz w:val="19"/>
                <w:szCs w:val="19"/>
                <w:b w:val="1"/>
                <w:bCs w:val="1"/>
                <w:color w:val="auto"/>
                <w:w w:val="99"/>
              </w:rPr>
              <w:t>Depositary Shares</w:t>
            </w:r>
          </w:p>
        </w:tc>
        <w:tc>
          <w:tcPr>
            <w:tcW w:w="16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ConocoPhillips Company</w:t>
            </w:r>
            <w:r>
              <w:rPr>
                <w:rFonts w:ascii="Times New Roman" w:cs="Times New Roman" w:eastAsia="Times New Roman" w:hAnsi="Times New Roman"/>
                <w:sz w:val="19"/>
                <w:szCs w:val="19"/>
                <w:color w:val="auto"/>
                <w:w w:val="99"/>
              </w:rPr>
              <w:t>​</w:t>
            </w:r>
          </w:p>
        </w:tc>
        <w:tc>
          <w:tcPr>
            <w:tcW w:w="260" w:type="dxa"/>
            <w:vAlign w:val="bottom"/>
          </w:tcPr>
          <w:p>
            <w:pPr>
              <w:spacing w:after="0"/>
              <w:rPr>
                <w:sz w:val="14"/>
                <w:szCs w:val="14"/>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ConocoPhillips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8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3"/>
              </w:rPr>
              <w:t>Stock Purchase Contracts or</w:t>
            </w:r>
          </w:p>
        </w:tc>
        <w:tc>
          <w:tcPr>
            <w:tcW w:w="1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107" w:right="1440" w:bottom="1440" w:gutter="0" w:footer="0" w:header="0"/>
        </w:sectPr>
      </w:pPr>
    </w:p>
    <w:p>
      <w:pPr>
        <w:ind w:left="1700"/>
        <w:spacing w:after="0" w:line="196" w:lineRule="auto"/>
        <w:rPr>
          <w:sz w:val="20"/>
          <w:szCs w:val="20"/>
          <w:color w:val="auto"/>
        </w:rPr>
      </w:pPr>
      <w:r>
        <w:rPr>
          <w:rFonts w:ascii="Times New Roman" w:cs="Times New Roman" w:eastAsia="Times New Roman" w:hAnsi="Times New Roman"/>
          <w:sz w:val="17"/>
          <w:szCs w:val="17"/>
          <w:b w:val="1"/>
          <w:bCs w:val="1"/>
          <w:color w:val="auto"/>
        </w:rPr>
        <w:t>Units</w:t>
      </w:r>
    </w:p>
    <w:p>
      <w:pPr>
        <w:sectPr>
          <w:pgSz w:w="11900" w:h="16838" w:orient="portrait"/>
          <w:cols w:equalWidth="0" w:num="1">
            <w:col w:w="9019"/>
          </w:cols>
          <w:pgMar w:left="1440" w:top="107" w:right="1440" w:bottom="1440" w:gutter="0" w:footer="0" w:header="0"/>
          <w:type w:val="continuous"/>
        </w:sectPr>
      </w:pPr>
    </w:p>
    <w:p>
      <w:pPr>
        <w:jc w:val="center"/>
        <w:ind w:right="5179"/>
        <w:spacing w:after="0" w:line="181" w:lineRule="auto"/>
        <w:rPr>
          <w:sz w:val="20"/>
          <w:szCs w:val="20"/>
          <w:color w:val="auto"/>
        </w:rPr>
      </w:pPr>
      <w:r>
        <w:rPr>
          <w:rFonts w:ascii="Times New Roman" w:cs="Times New Roman" w:eastAsia="Times New Roman" w:hAnsi="Times New Roman"/>
          <w:sz w:val="19"/>
          <w:szCs w:val="19"/>
          <w:b w:val="1"/>
          <w:bCs w:val="1"/>
          <w:color w:val="auto"/>
        </w:rPr>
        <w:t>Prepaid Stock Purchase</w:t>
      </w:r>
    </w:p>
    <w:p>
      <w:pPr>
        <w:spacing w:after="0" w:line="1" w:lineRule="exact"/>
        <w:rPr>
          <w:sz w:val="20"/>
          <w:szCs w:val="20"/>
          <w:color w:val="auto"/>
        </w:rPr>
      </w:pPr>
    </w:p>
    <w:p>
      <w:pPr>
        <w:jc w:val="center"/>
        <w:ind w:right="5139"/>
        <w:spacing w:after="0"/>
        <w:rPr>
          <w:sz w:val="20"/>
          <w:szCs w:val="20"/>
          <w:color w:val="auto"/>
        </w:rPr>
      </w:pPr>
      <w:r>
        <w:rPr>
          <w:rFonts w:ascii="Times New Roman" w:cs="Times New Roman" w:eastAsia="Times New Roman" w:hAnsi="Times New Roman"/>
          <w:sz w:val="20"/>
          <w:szCs w:val="20"/>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152400</wp:posOffset>
            </wp:positionV>
            <wp:extent cx="9620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84" w:lineRule="exact"/>
        <w:rPr>
          <w:sz w:val="20"/>
          <w:szCs w:val="20"/>
          <w:color w:val="auto"/>
        </w:rPr>
      </w:pPr>
    </w:p>
    <w:p>
      <w:pPr>
        <w:jc w:val="center"/>
        <w:ind w:left="2340"/>
        <w:spacing w:after="0" w:line="251" w:lineRule="auto"/>
        <w:rPr>
          <w:sz w:val="20"/>
          <w:szCs w:val="20"/>
          <w:color w:val="auto"/>
        </w:rPr>
      </w:pPr>
      <w:r>
        <w:rPr>
          <w:rFonts w:ascii="Times New Roman" w:cs="Times New Roman" w:eastAsia="Times New Roman" w:hAnsi="Times New Roman"/>
          <w:sz w:val="14"/>
          <w:szCs w:val="14"/>
          <w:color w:val="auto"/>
        </w:rPr>
        <w:t>We will provide the specific terms of the securities in supplements to this prospectus. You should read this prospectus and any supplement carefully before you invest. ConocoPhillips common stock is traded on the New York Stock Exchange under the trading symbol “COP.”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156210</wp:posOffset>
            </wp:positionV>
            <wp:extent cx="9620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88" w:lineRule="exact"/>
        <w:rPr>
          <w:sz w:val="20"/>
          <w:szCs w:val="20"/>
          <w:color w:val="auto"/>
        </w:rPr>
      </w:pPr>
    </w:p>
    <w:p>
      <w:pPr>
        <w:ind w:left="700" w:right="1159" w:firstLine="280"/>
        <w:spacing w:after="0" w:line="271"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You should consider the risk factors described in any accompanying prospectus supplement or any documents we incorporate by reference.</w:t>
      </w:r>
    </w:p>
    <w:p>
      <w:pPr>
        <w:spacing w:after="0" w:line="68" w:lineRule="exact"/>
        <w:rPr>
          <w:sz w:val="20"/>
          <w:szCs w:val="20"/>
          <w:color w:val="auto"/>
        </w:rPr>
      </w:pPr>
    </w:p>
    <w:p>
      <w:pPr>
        <w:jc w:val="both"/>
        <w:ind w:left="700" w:right="979" w:firstLine="280"/>
        <w:spacing w:after="0" w:line="310"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196215</wp:posOffset>
            </wp:positionV>
            <wp:extent cx="533082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 w:name="page3"/>
    <w:bookmarkEnd w:id="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4062095" cy="93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ConocoPhillips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-8255</wp:posOffset>
            </wp:positionV>
            <wp:extent cx="406209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ConocoPhillips Company</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Forward</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-Looking Information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Depositary Shares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Stock Purchase Contracts and Stock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194310</wp:posOffset>
            </wp:positionV>
            <wp:extent cx="9620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300" w:firstLine="281"/>
        <w:spacing w:after="0" w:line="261" w:lineRule="auto"/>
        <w:rPr>
          <w:sz w:val="20"/>
          <w:szCs w:val="20"/>
          <w:color w:val="auto"/>
        </w:rPr>
      </w:pPr>
      <w:r>
        <w:rPr>
          <w:rFonts w:ascii="Times New Roman" w:cs="Times New Roman" w:eastAsia="Times New Roman" w:hAnsi="Times New Roman"/>
          <w:sz w:val="14"/>
          <w:szCs w:val="14"/>
          <w:color w:val="auto"/>
        </w:rPr>
        <w:t>Unless otherwise stated or the context otherwise requires, references in this prospectus to “ConocoPhillips,” “we,” “us” and “our” refer, collectively, to ConocoPhillips and its consolidated subsidiaries, including ConocoPhillips Company; references to the “CPCo” refer to ConocoPhillips Company, and not to any of its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w:t>
      </w:r>
    </w:p>
    <w:p>
      <w:pPr>
        <w:sectPr>
          <w:pgSz w:w="11900" w:h="16838" w:orient="portrait"/>
          <w:cols w:equalWidth="0" w:num="2">
            <w:col w:w="7160" w:space="260"/>
            <w:col w:w="1599"/>
          </w:cols>
          <w:pgMar w:left="1440" w:top="107" w:right="1440" w:bottom="1440" w:gutter="0" w:footer="0" w:header="0"/>
          <w:type w:val="continuous"/>
        </w:sectPr>
      </w:pPr>
    </w:p>
    <w:bookmarkStart w:id="3" w:name="page4"/>
    <w:bookmarkEnd w:id="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59" w:firstLine="281"/>
        <w:spacing w:after="0" w:line="24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U.S. Securities and Exchange Commission (the “SEC”) using a “shelf” registration process. Using this process, we may offer any combination of the securities described in this prospectus in one or more offerings. This prospectus provides you with a general description of the securities we may offer. Each time we use this prospectus to offer securities, we will provide a prospectus supplement and, if applicable, a pricing supplement that will describe the specific terms of the offering. The prospectus supplement and any pricing supplement may also add to, update or change the information contained in this prospectus. Please carefully read this prospectus, the prospectus supplement and any pricing supplement, in addition to the information contained in the documents we refer to under the heading “Where You Can Find More Information.”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CONOCOPHILLIPS</w:t>
      </w:r>
    </w:p>
    <w:p>
      <w:pPr>
        <w:spacing w:after="0" w:line="125"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ConocoPhillips is one of the world’s leading exploration and production (“E&amp;P”) companies based on production and reserves, with operations and activities in 15 countries as of June 30, 2026. Our diverse, low cost of supply portfolio includes resource-rich unconventional plays in North America; conventional assets in North America, Europe, Africa and Asia; global LNG developments; oil sands in Canada; and an inventory of global exploration prospects. ConocoPhillips’ principal executive offices are located at 925 N. Eldridge Parkway, Houston, Texas 77079, telephone (281) 293-1000.</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CONOCOPHILLIPS COMPANY</w:t>
      </w:r>
    </w:p>
    <w:p>
      <w:pPr>
        <w:spacing w:after="0" w:line="115"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ConocoPhillips Company is a direct, wholly owned subsidiary of ConocoPhillips. Its principal executive offices are located at 925 N. Eldridge Parkway, Houston, Texas 77079, telephone (281) 293-1000.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359" w:firstLine="281"/>
        <w:spacing w:after="0" w:line="243" w:lineRule="auto"/>
        <w:rPr>
          <w:sz w:val="20"/>
          <w:szCs w:val="20"/>
          <w:color w:val="auto"/>
        </w:rPr>
      </w:pPr>
      <w:r>
        <w:rPr>
          <w:rFonts w:ascii="Times New Roman" w:cs="Times New Roman" w:eastAsia="Times New Roman" w:hAnsi="Times New Roman"/>
          <w:sz w:val="14"/>
          <w:szCs w:val="14"/>
          <w:color w:val="auto"/>
        </w:rPr>
        <w:t>ConocoPhillips files annual, quarterly and current reports, proxy statements and other information with the SEC. The SEC maintains a website that contains reports and other information ConocoPhillips has filed electronically with the SEC, which you can access at www.sec.gov. Our SEC filings are also available on our website at http://www.conocophillips.com/investor-relations/sec- filings/. The information contained on or linked to or from our website is not incorporated by reference into this prospectus or the registration statement of which it forms a part. You can also obtain information about ConocoPhillips at the offices of the New York Stock Exchange, 20 Broad Street, New York, New York 10005. CPCo does not file separate reports, proxy statements or other information with the SEC under the Securities Exchange Act of 1934, as amended (the “Exchange Act”).</w:t>
      </w:r>
    </w:p>
    <w:p>
      <w:pPr>
        <w:spacing w:after="0" w:line="90" w:lineRule="exact"/>
        <w:rPr>
          <w:sz w:val="20"/>
          <w:szCs w:val="20"/>
          <w:color w:val="auto"/>
        </w:rPr>
      </w:pPr>
    </w:p>
    <w:p>
      <w:pPr>
        <w:ind w:left="1300" w:right="1339" w:firstLine="281"/>
        <w:spacing w:after="0" w:line="247" w:lineRule="auto"/>
        <w:rPr>
          <w:sz w:val="20"/>
          <w:szCs w:val="20"/>
          <w:color w:val="auto"/>
        </w:rPr>
      </w:pPr>
      <w:r>
        <w:rPr>
          <w:rFonts w:ascii="Times New Roman" w:cs="Times New Roman" w:eastAsia="Times New Roman" w:hAnsi="Times New Roman"/>
          <w:sz w:val="14"/>
          <w:szCs w:val="14"/>
          <w:color w:val="auto"/>
        </w:rPr>
        <w:t>This prospectus is part of a joint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87"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ConocoPhillips has filed with it, which means that we can disclose important information to you by referring you to those documents. The information we incorporate by reference is an important part of this prospectus, and later information that ConocoPhillips files with the SEC will automatically update and supersede this information. We incorporate by reference the documents listed below and any future filings ConocoPhillips makes with the SEC under Sections 13(a), 13(c), 14 or 15(d) of the Exchange Act (excluding any information furnished but that is not deemed filed under the Exchange Act) until the termination of this offering. The documents we incorporate by reference are:</w:t>
      </w:r>
    </w:p>
    <w:p>
      <w:pPr>
        <w:spacing w:after="0" w:line="223" w:lineRule="exact"/>
        <w:rPr>
          <w:sz w:val="20"/>
          <w:szCs w:val="20"/>
          <w:color w:val="auto"/>
        </w:rPr>
      </w:pPr>
    </w:p>
    <w:p>
      <w:pPr>
        <w:ind w:left="1720" w:right="1459" w:hanging="134"/>
        <w:spacing w:after="0" w:line="267" w:lineRule="auto"/>
        <w:tabs>
          <w:tab w:leader="none" w:pos="1720" w:val="left"/>
        </w:tabs>
        <w:numPr>
          <w:ilvl w:val="0"/>
          <w:numId w:val="1"/>
        </w:numPr>
        <w:rPr>
          <w:rFonts w:ascii="Times New Roman" w:cs="Times New Roman" w:eastAsia="Times New Roman" w:hAnsi="Times New Roman"/>
          <w:sz w:val="14"/>
          <w:szCs w:val="14"/>
          <w:color w:val="0000EE"/>
        </w:rPr>
      </w:pPr>
      <w:hyperlink r:id="rId31">
        <w:r>
          <w:rPr>
            <w:rFonts w:ascii="Times New Roman" w:cs="Times New Roman" w:eastAsia="Times New Roman" w:hAnsi="Times New Roman"/>
            <w:sz w:val="14"/>
            <w:szCs w:val="14"/>
            <w:color w:val="auto"/>
          </w:rPr>
          <w:t xml:space="preserve">ConocoPhillips’ </w:t>
        </w:r>
        <w:r>
          <w:rPr>
            <w:rFonts w:ascii="Times New Roman" w:cs="Times New Roman" w:eastAsia="Times New Roman" w:hAnsi="Times New Roman"/>
            <w:sz w:val="14"/>
            <w:szCs w:val="14"/>
            <w:u w:val="single" w:color="auto"/>
            <w:color w:val="0000EE"/>
          </w:rPr>
          <w:t>Annual Report on Form 10-K for the year ended December 31, 2025, as filed with</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the SEC on February 17, 2026</w:t>
        </w:r>
        <w:r>
          <w:rPr>
            <w:rFonts w:ascii="Times New Roman" w:cs="Times New Roman" w:eastAsia="Times New Roman" w:hAnsi="Times New Roman"/>
            <w:sz w:val="14"/>
            <w:szCs w:val="14"/>
            <w:color w:val="000000"/>
          </w:rPr>
          <w:t>, which incorporates certain sections of ConocoPhillips’</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proxy</w:t>
        </w:r>
      </w:hyperlink>
      <w:r>
        <w:rPr>
          <w:rFonts w:ascii="Times New Roman" w:cs="Times New Roman" w:eastAsia="Times New Roman" w:hAnsi="Times New Roman"/>
          <w:sz w:val="14"/>
          <w:szCs w:val="14"/>
          <w:color w:val="0000EE"/>
        </w:rPr>
        <w:t xml:space="preserve"> </w:t>
      </w:r>
      <w:hyperlink r:id="rId32">
        <w:r>
          <w:rPr>
            <w:rFonts w:ascii="Times New Roman" w:cs="Times New Roman" w:eastAsia="Times New Roman" w:hAnsi="Times New Roman"/>
            <w:sz w:val="14"/>
            <w:szCs w:val="14"/>
            <w:u w:val="single" w:color="auto"/>
            <w:color w:val="0000EE"/>
          </w:rPr>
          <w:t>statement for its 2026 annual meeting of stockholders, as filed with the SEC on March 30, 2026</w:t>
        </w:r>
      </w:hyperlink>
      <w:r>
        <w:rPr>
          <w:rFonts w:ascii="Times New Roman" w:cs="Times New Roman" w:eastAsia="Times New Roman" w:hAnsi="Times New Roman"/>
          <w:sz w:val="14"/>
          <w:szCs w:val="14"/>
          <w:color w:val="000000"/>
        </w:rPr>
        <w:t>;</w:t>
      </w:r>
    </w:p>
    <w:p>
      <w:pPr>
        <w:spacing w:after="0" w:line="51" w:lineRule="exact"/>
        <w:rPr>
          <w:rFonts w:ascii="Times New Roman" w:cs="Times New Roman" w:eastAsia="Times New Roman" w:hAnsi="Times New Roman"/>
          <w:sz w:val="14"/>
          <w:szCs w:val="14"/>
          <w:color w:val="0000EE"/>
        </w:rPr>
      </w:pPr>
    </w:p>
    <w:p>
      <w:pPr>
        <w:ind w:left="1720" w:right="1439" w:hanging="134"/>
        <w:spacing w:after="0" w:line="283" w:lineRule="auto"/>
        <w:tabs>
          <w:tab w:leader="none" w:pos="1720" w:val="left"/>
        </w:tabs>
        <w:numPr>
          <w:ilvl w:val="0"/>
          <w:numId w:val="1"/>
        </w:numPr>
        <w:rPr>
          <w:rFonts w:ascii="Times New Roman" w:cs="Times New Roman" w:eastAsia="Times New Roman" w:hAnsi="Times New Roman"/>
          <w:sz w:val="14"/>
          <w:szCs w:val="14"/>
          <w:color w:val="0000EE"/>
        </w:rPr>
      </w:pPr>
      <w:hyperlink r:id="rId33">
        <w:r>
          <w:rPr>
            <w:rFonts w:ascii="Times New Roman" w:cs="Times New Roman" w:eastAsia="Times New Roman" w:hAnsi="Times New Roman"/>
            <w:sz w:val="14"/>
            <w:szCs w:val="14"/>
            <w:color w:val="auto"/>
          </w:rPr>
          <w:t xml:space="preserve">ConocoPhillips’ </w:t>
        </w:r>
        <w:r>
          <w:rPr>
            <w:rFonts w:ascii="Times New Roman" w:cs="Times New Roman" w:eastAsia="Times New Roman" w:hAnsi="Times New Roman"/>
            <w:sz w:val="14"/>
            <w:szCs w:val="14"/>
            <w:u w:val="single" w:color="auto"/>
            <w:color w:val="0000EE"/>
          </w:rPr>
          <w:t>Quarterly Report on Form 10-Q for the period ended March 31, 2026, as filed with</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EE"/>
          </w:rPr>
          <w:t>the SEC on April 30, 2026</w:t>
        </w:r>
        <w:r>
          <w:rPr>
            <w:rFonts w:ascii="Times New Roman" w:cs="Times New Roman" w:eastAsia="Times New Roman" w:hAnsi="Times New Roman"/>
            <w:sz w:val="14"/>
            <w:szCs w:val="14"/>
            <w:color w:val="000000"/>
          </w:rPr>
          <w:t>;</w:t>
        </w:r>
      </w:hyperlink>
    </w:p>
    <w:p>
      <w:pPr>
        <w:spacing w:after="0" w:line="26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ConocoPhillips’ Current Reports on Form 8-K filed on </w:t>
      </w:r>
      <w:hyperlink r:id="rId35">
        <w:r>
          <w:rPr>
            <w:rFonts w:ascii="Times New Roman" w:cs="Times New Roman" w:eastAsia="Times New Roman" w:hAnsi="Times New Roman"/>
            <w:sz w:val="14"/>
            <w:szCs w:val="14"/>
            <w:u w:val="single" w:color="auto"/>
            <w:color w:val="0000EE"/>
          </w:rPr>
          <w:t>May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6">
        <w:r>
          <w:rPr>
            <w:rFonts w:ascii="Times New Roman" w:cs="Times New Roman" w:eastAsia="Times New Roman" w:hAnsi="Times New Roman"/>
            <w:sz w:val="14"/>
            <w:szCs w:val="14"/>
            <w:u w:val="single" w:color="auto"/>
            <w:color w:val="0000EE"/>
          </w:rPr>
          <w:t>June 23, 2026</w:t>
        </w:r>
      </w:hyperlink>
      <w:r>
        <w:rPr>
          <w:rFonts w:ascii="Times New Roman" w:cs="Times New Roman" w:eastAsia="Times New Roman" w:hAnsi="Times New Roman"/>
          <w:sz w:val="14"/>
          <w:szCs w:val="14"/>
          <w:color w:val="auto"/>
        </w:rPr>
        <w:t>; and</w:t>
      </w:r>
    </w:p>
    <w:p>
      <w:pPr>
        <w:spacing w:after="0" w:line="91" w:lineRule="exact"/>
        <w:rPr>
          <w:rFonts w:ascii="Times New Roman" w:cs="Times New Roman" w:eastAsia="Times New Roman" w:hAnsi="Times New Roman"/>
          <w:sz w:val="14"/>
          <w:szCs w:val="14"/>
          <w:color w:val="auto"/>
        </w:rPr>
      </w:pPr>
    </w:p>
    <w:p>
      <w:pPr>
        <w:ind w:left="1720" w:right="1439" w:hanging="134"/>
        <w:spacing w:after="0" w:line="261" w:lineRule="auto"/>
        <w:tabs>
          <w:tab w:leader="none" w:pos="1720" w:val="left"/>
        </w:tabs>
        <w:numPr>
          <w:ilvl w:val="0"/>
          <w:numId w:val="2"/>
        </w:numPr>
        <w:rPr>
          <w:rFonts w:ascii="Times New Roman" w:cs="Times New Roman" w:eastAsia="Times New Roman" w:hAnsi="Times New Roman"/>
          <w:sz w:val="14"/>
          <w:szCs w:val="14"/>
          <w:color w:val="0000EE"/>
        </w:rPr>
      </w:pPr>
      <w:hyperlink r:id="rId37">
        <w:r>
          <w:rPr>
            <w:rFonts w:ascii="Times New Roman" w:cs="Times New Roman" w:eastAsia="Times New Roman" w:hAnsi="Times New Roman"/>
            <w:sz w:val="14"/>
            <w:szCs w:val="14"/>
            <w:color w:val="auto"/>
          </w:rPr>
          <w:t xml:space="preserve">the description of ConocoPhillips common stock contained in ConocoPhillips’ </w:t>
        </w:r>
        <w:r>
          <w:rPr>
            <w:rFonts w:ascii="Times New Roman" w:cs="Times New Roman" w:eastAsia="Times New Roman" w:hAnsi="Times New Roman"/>
            <w:sz w:val="14"/>
            <w:szCs w:val="14"/>
            <w:u w:val="single" w:color="auto"/>
            <w:color w:val="0000EE"/>
          </w:rPr>
          <w:t>Current Report on</w:t>
        </w:r>
      </w:hyperlink>
      <w:r>
        <w:rPr>
          <w:rFonts w:ascii="Times New Roman" w:cs="Times New Roman" w:eastAsia="Times New Roman" w:hAnsi="Times New Roman"/>
          <w:sz w:val="14"/>
          <w:szCs w:val="14"/>
          <w:color w:val="auto"/>
        </w:rPr>
        <w:t xml:space="preserve"> </w:t>
      </w:r>
      <w:hyperlink r:id="rId37">
        <w:r>
          <w:rPr>
            <w:rFonts w:ascii="Times New Roman" w:cs="Times New Roman" w:eastAsia="Times New Roman" w:hAnsi="Times New Roman"/>
            <w:sz w:val="14"/>
            <w:szCs w:val="14"/>
            <w:u w:val="single" w:color="auto"/>
            <w:color w:val="0000EE"/>
          </w:rPr>
          <w:t>Form 8-K, as filed with the SEC on August 30, 2002</w:t>
        </w:r>
        <w:r>
          <w:rPr>
            <w:rFonts w:ascii="Times New Roman" w:cs="Times New Roman" w:eastAsia="Times New Roman" w:hAnsi="Times New Roman"/>
            <w:sz w:val="14"/>
            <w:szCs w:val="14"/>
            <w:color w:val="000000"/>
          </w:rPr>
          <w:t>, as updated by</w:t>
        </w:r>
        <w:r>
          <w:rPr>
            <w:rFonts w:ascii="Times New Roman" w:cs="Times New Roman" w:eastAsia="Times New Roman" w:hAnsi="Times New Roman"/>
            <w:sz w:val="14"/>
            <w:szCs w:val="14"/>
            <w:color w:val="0000EE"/>
          </w:rPr>
          <w:t xml:space="preserve"> </w:t>
        </w:r>
      </w:hyperlink>
      <w:hyperlink r:id="rId38">
        <w:r>
          <w:rPr>
            <w:rFonts w:ascii="Times New Roman" w:cs="Times New Roman" w:eastAsia="Times New Roman" w:hAnsi="Times New Roman"/>
            <w:sz w:val="14"/>
            <w:szCs w:val="14"/>
            <w:u w:val="single" w:color="auto"/>
            <w:color w:val="0000EE"/>
          </w:rPr>
          <w:t xml:space="preserve">Exhibit 4.1 </w:t>
        </w:r>
      </w:hyperlink>
      <w:hyperlink r:id="rId37">
        <w:r>
          <w:rPr>
            <w:rFonts w:ascii="Times New Roman" w:cs="Times New Roman" w:eastAsia="Times New Roman" w:hAnsi="Times New Roman"/>
            <w:sz w:val="14"/>
            <w:szCs w:val="14"/>
            <w:color w:val="000000"/>
          </w:rPr>
          <w:t>to ConocoPhillips’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Annual Report on Form 10-K for the year ended December 31, 2025, and as subsequently amended and updated from time to time.</w:t>
      </w:r>
    </w:p>
    <w:p>
      <w:pPr>
        <w:spacing w:after="0" w:line="89" w:lineRule="exact"/>
        <w:rPr>
          <w:rFonts w:ascii="Times New Roman" w:cs="Times New Roman" w:eastAsia="Times New Roman" w:hAnsi="Times New Roman"/>
          <w:sz w:val="14"/>
          <w:szCs w:val="14"/>
          <w:color w:val="0000EE"/>
        </w:rPr>
      </w:pPr>
    </w:p>
    <w:p>
      <w:pPr>
        <w:ind w:left="1300" w:right="1459" w:firstLine="281"/>
        <w:spacing w:after="0" w:line="264"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this prospectus is delivered, a copy of any document incorporated by reference into this prospectus, other than exhibits to any such document not specifically described above by oral request or by written request at the following address:</w:t>
      </w:r>
    </w:p>
    <w:p>
      <w:pPr>
        <w:spacing w:after="0" w:line="258"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Shareholder Relations Department</w:t>
      </w:r>
    </w:p>
    <w:p>
      <w:pPr>
        <w:spacing w:after="0" w:line="7"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925 N. Eldridge Parkway</w:t>
      </w:r>
    </w:p>
    <w:p>
      <w:pPr>
        <w:spacing w:after="0" w:line="7"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P.O. Box 2197</w:t>
      </w:r>
    </w:p>
    <w:p>
      <w:pPr>
        <w:spacing w:after="0" w:line="7"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Houston, Texas 77252-2197</w:t>
      </w:r>
    </w:p>
    <w:p>
      <w:pPr>
        <w:spacing w:after="0" w:line="7"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(281) 293-6800</w:t>
      </w:r>
    </w:p>
    <w:p>
      <w:pPr>
        <w:spacing w:after="0" w:line="96" w:lineRule="exact"/>
        <w:rPr>
          <w:rFonts w:ascii="Times New Roman" w:cs="Times New Roman" w:eastAsia="Times New Roman" w:hAnsi="Times New Roman"/>
          <w:sz w:val="14"/>
          <w:szCs w:val="14"/>
          <w:color w:val="0000EE"/>
        </w:rPr>
      </w:pPr>
    </w:p>
    <w:p>
      <w:pPr>
        <w:ind w:left="1300" w:right="1359" w:firstLine="281"/>
        <w:spacing w:after="0" w:line="279" w:lineRule="auto"/>
        <w:rPr>
          <w:sz w:val="20"/>
          <w:szCs w:val="20"/>
          <w:color w:val="auto"/>
        </w:rPr>
      </w:pPr>
      <w:r>
        <w:rPr>
          <w:rFonts w:ascii="Times New Roman" w:cs="Times New Roman" w:eastAsia="Times New Roman" w:hAnsi="Times New Roman"/>
          <w:sz w:val="13"/>
          <w:szCs w:val="13"/>
          <w:b w:val="1"/>
          <w:bCs w:val="1"/>
          <w:color w:val="auto"/>
        </w:rPr>
        <w:t>We have not authorized any person, including any salesman or broker, to provide information other than that included or incorporated by reference in this prospectus, the prospectus supplement or any pricing supplement. We do not take any responsibility for, or provide any assurance as to the reliability of, any other information that others may give you. We are not making an offer of the securities in any jurisdiction where the offer is not permitted. You should assume that the information in this prospectus and any prospectus supplement or pricing supplement is accurate only as of the date on its cover page and that any information we have incorporated by reference is accurate only as of the date of the document incorporated by reference.</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88"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INFORMATION</w:t>
      </w:r>
    </w:p>
    <w:p>
      <w:pPr>
        <w:spacing w:after="0" w:line="125" w:lineRule="exact"/>
        <w:rPr>
          <w:sz w:val="20"/>
          <w:szCs w:val="20"/>
          <w:color w:val="auto"/>
        </w:rPr>
      </w:pPr>
    </w:p>
    <w:p>
      <w:pPr>
        <w:ind w:left="1300" w:right="1399" w:firstLine="281"/>
        <w:spacing w:after="0" w:line="254" w:lineRule="auto"/>
        <w:rPr>
          <w:sz w:val="20"/>
          <w:szCs w:val="20"/>
          <w:color w:val="auto"/>
        </w:rPr>
      </w:pPr>
      <w:r>
        <w:rPr>
          <w:rFonts w:ascii="Times New Roman" w:cs="Times New Roman" w:eastAsia="Times New Roman" w:hAnsi="Times New Roman"/>
          <w:sz w:val="14"/>
          <w:szCs w:val="14"/>
          <w:color w:val="auto"/>
        </w:rPr>
        <w:t>This prospectus, including the information we incorporate by reference, includes forward-looking statements within the meaning of Section 27A of the Securities Act of 1933, as amended (the “Securities Act”) and Section 21E of the Exchange Act. All statements other than statements of historical fact included or incorporated by reference in this prospectus, including, without limitation, statements regarding our future financial position, business strategy, budgets, projected revenues, projected costs and plans, and objectives of management for future operations, are forward-looking statements. You can often identify our forward-looking statements by the words “ambition,” “anticipate,” “believe,” “budget,” “continue,” “could,” “effort,” “estimate,” “expect,” “forecast,” “goal,” “guidance,” “intend,” “may,” “objective,” “outlook,” “plan,” “potential,” “predict,” “projection,” “seek,” “should,” “target,” “will,” “would” and similar expressions.</w:t>
      </w:r>
    </w:p>
    <w:p>
      <w:pPr>
        <w:spacing w:after="0" w:line="266" w:lineRule="exact"/>
        <w:rPr>
          <w:sz w:val="20"/>
          <w:szCs w:val="20"/>
          <w:color w:val="auto"/>
        </w:rPr>
      </w:pPr>
    </w:p>
    <w:p>
      <w:pPr>
        <w:ind w:left="1300" w:right="1319" w:firstLine="281"/>
        <w:spacing w:after="0" w:line="255" w:lineRule="auto"/>
        <w:rPr>
          <w:sz w:val="20"/>
          <w:szCs w:val="20"/>
          <w:color w:val="auto"/>
        </w:rPr>
      </w:pPr>
      <w:r>
        <w:rPr>
          <w:rFonts w:ascii="Times New Roman" w:cs="Times New Roman" w:eastAsia="Times New Roman" w:hAnsi="Times New Roman"/>
          <w:sz w:val="14"/>
          <w:szCs w:val="14"/>
          <w:color w:val="auto"/>
        </w:rPr>
        <w:t>We based the forward-looking statements on ConocoPhillips’ current expectations, estimates and projections about ConocoPhillips and the industries in which it operates in general. We caution you these statements are not guarantees of future performance as they involve assumptions that, while made in good faith, may prove to be incorrect, and involve risks and uncertainties we cannot predict. In addition, we based many of these forward-looking statements on assumptions about future events that may prove to be inaccurate. Accordingly, ConocoPhillips’ actual outcomes and results may differ materially from what we have expressed or forecast in the forward-looking statements. Any differences could result from a variety of factors and uncertainties, including, but not limited to, the following:</w:t>
      </w:r>
    </w:p>
    <w:p>
      <w:pPr>
        <w:spacing w:after="0" w:line="63" w:lineRule="exact"/>
        <w:rPr>
          <w:sz w:val="20"/>
          <w:szCs w:val="20"/>
          <w:color w:val="auto"/>
        </w:rPr>
      </w:pPr>
    </w:p>
    <w:p>
      <w:pPr>
        <w:ind w:left="1720" w:right="1319" w:hanging="134"/>
        <w:spacing w:after="0" w:line="261"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volatile commodity prices, including prolonged periods of low commodity prices, which may adversely impact our operating results and our ability to execute on our strategy and could result in recognition of impairment charges on our long-lived assets, leaseholds and nonconsolidated equity investments.</w:t>
      </w:r>
    </w:p>
    <w:p>
      <w:pPr>
        <w:spacing w:after="0" w:line="57" w:lineRule="exact"/>
        <w:rPr>
          <w:rFonts w:ascii="Times New Roman" w:cs="Times New Roman" w:eastAsia="Times New Roman" w:hAnsi="Times New Roman"/>
          <w:sz w:val="14"/>
          <w:szCs w:val="14"/>
          <w:color w:val="auto"/>
        </w:rPr>
      </w:pPr>
    </w:p>
    <w:p>
      <w:pPr>
        <w:ind w:left="1720" w:right="1479" w:hanging="134"/>
        <w:spacing w:after="0" w:line="25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regional changes in the demand, supply, prices, differentials or other market conditions affecting oil and gas, including changes as a result of any ongoing military conflict and the global response to such conflict; geopolitical tensions; security threats on facilities and infrastructure; global health crises; the imposition or lifting of crude oil production quotas or other actions that might be imposed by the Organization of Petroleum Exporting Countries and other producing countries; or the resulting company or third-party actions in response to such changes.</w:t>
      </w:r>
    </w:p>
    <w:p>
      <w:pPr>
        <w:spacing w:after="0" w:line="59" w:lineRule="exact"/>
        <w:rPr>
          <w:rFonts w:ascii="Times New Roman" w:cs="Times New Roman" w:eastAsia="Times New Roman" w:hAnsi="Times New Roman"/>
          <w:sz w:val="14"/>
          <w:szCs w:val="14"/>
          <w:color w:val="auto"/>
        </w:rPr>
      </w:pPr>
    </w:p>
    <w:p>
      <w:pPr>
        <w:ind w:left="1720" w:right="159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insufficient liquidity or other factors, such as those described herein, that could impact our ability to repurchase shares and declare and pay dividends.</w:t>
      </w:r>
    </w:p>
    <w:p>
      <w:pPr>
        <w:spacing w:after="0" w:line="41" w:lineRule="exact"/>
        <w:rPr>
          <w:rFonts w:ascii="Times New Roman" w:cs="Times New Roman" w:eastAsia="Times New Roman" w:hAnsi="Times New Roman"/>
          <w:sz w:val="14"/>
          <w:szCs w:val="14"/>
          <w:color w:val="auto"/>
        </w:rPr>
      </w:pPr>
    </w:p>
    <w:p>
      <w:pPr>
        <w:ind w:left="1720" w:right="1499" w:hanging="134"/>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failures or delays in achieving expected reserve or production levels from existing and future oil and gas developments, including due to operating hazards, drilling risks and the inherent uncertainties in predicting reserves and reservoir performance.</w:t>
      </w:r>
    </w:p>
    <w:p>
      <w:pPr>
        <w:spacing w:after="0" w:line="5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Reductions in our reserve replacement rates, whether as a result of significant declines in commodity prices or otherwise.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Unsuccessful exploratory drilling activities or the inability to obtain access to exploratory acreage.</w:t>
      </w:r>
    </w:p>
    <w:p>
      <w:pPr>
        <w:spacing w:after="0" w:line="91" w:lineRule="exact"/>
        <w:rPr>
          <w:rFonts w:ascii="Times New Roman" w:cs="Times New Roman" w:eastAsia="Times New Roman" w:hAnsi="Times New Roman"/>
          <w:sz w:val="14"/>
          <w:szCs w:val="14"/>
          <w:color w:val="auto"/>
        </w:rPr>
      </w:pPr>
    </w:p>
    <w:p>
      <w:pPr>
        <w:ind w:left="1720" w:right="1439" w:hanging="134"/>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progress or complete announced and future development plans related to constructing, modifying or operating E&amp;P and liquefied natural gas (“LNG”) facilities, or unexpected changes in costs, inflationary pressures or technical equipment related to such plans.</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59"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operational or investment changes imposed by legislative and regulatory initiatives and international agreements addressing environmental concerns, including initiatives addressing the impact of global climate change, such as limiting or reducing greenhouse gas emissions; regulations concerning hydraulic fracturing, methane emissions, flaring or water disposal; and prohibitions on commodity exports.</w:t>
      </w:r>
    </w:p>
    <w:p>
      <w:pPr>
        <w:spacing w:after="0" w:line="57"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Broader societal attention to and efforts to address climate change may cause substantial investment in and increased adoption of competing or alternative energy sources.</w:t>
      </w:r>
    </w:p>
    <w:p>
      <w:pPr>
        <w:spacing w:after="0" w:line="4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uncertainties and high costs that may prevent us from successfully executing on our Climate-related Risk Strategy.</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519" w:hanging="134"/>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or inadequacy of, or disruptions in, reliable transportation for our crude oil, bitumen, natural gas, LNG and natural gas liquids.</w:t>
      </w:r>
    </w:p>
    <w:p>
      <w:pPr>
        <w:spacing w:after="0" w:line="41" w:lineRule="exact"/>
        <w:rPr>
          <w:rFonts w:ascii="Times New Roman" w:cs="Times New Roman" w:eastAsia="Times New Roman" w:hAnsi="Times New Roman"/>
          <w:sz w:val="14"/>
          <w:szCs w:val="14"/>
          <w:color w:val="auto"/>
        </w:rPr>
      </w:pPr>
    </w:p>
    <w:p>
      <w:pPr>
        <w:ind w:left="1720" w:right="1439" w:hanging="134"/>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timely obtain or maintain permits, including those necessary for construction, drilling and/or development, or inability to make capital expenditures required to maintain compliance with any necessary permits or applicable laws or regulations.</w:t>
      </w:r>
    </w:p>
    <w:p>
      <w:pPr>
        <w:spacing w:after="0" w:line="51" w:lineRule="exact"/>
        <w:rPr>
          <w:rFonts w:ascii="Times New Roman" w:cs="Times New Roman" w:eastAsia="Times New Roman" w:hAnsi="Times New Roman"/>
          <w:sz w:val="14"/>
          <w:szCs w:val="14"/>
          <w:color w:val="auto"/>
        </w:rPr>
      </w:pPr>
    </w:p>
    <w:p>
      <w:pPr>
        <w:ind w:left="1720" w:right="1379" w:hanging="134"/>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disruption or interruption of our operations and any resulting consequences due to accidents; extraordinary weather events; supply chain disruptions; civil unrest; political events; war; terrorism; cybersecurity threats or information technology failures, constraints or disruptions.</w:t>
      </w:r>
    </w:p>
    <w:p>
      <w:pPr>
        <w:spacing w:after="0" w:line="51"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remedial actions, including removal and reclamation obligations, under existing or future environmental regulations and litigation.</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resulting from pending or future litigation or our failure to comply with applicable laws and regulations.</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59"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domestic and international economic, political and diplomatic developments, including deterioration of international trade relationships; the imposition of trade restrictions or tariffs relating to commodities and material or products (such as aluminum and steel) used in the operation of our business; expropriation of assets; changes in governmental policies relating to commodity pricing, including the imposition of price caps; sanctions; or other adverse regulations or taxation policies.</w:t>
      </w:r>
    </w:p>
    <w:p>
      <w:pPr>
        <w:spacing w:after="0" w:line="57"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consolidation in the oil and gas E&amp;P industry, including competition for sources of supply, services, personnel and equipment.</w:t>
      </w:r>
    </w:p>
    <w:p>
      <w:pPr>
        <w:spacing w:after="0" w:line="41" w:lineRule="exact"/>
        <w:rPr>
          <w:rFonts w:ascii="Times New Roman" w:cs="Times New Roman" w:eastAsia="Times New Roman" w:hAnsi="Times New Roman"/>
          <w:sz w:val="14"/>
          <w:szCs w:val="14"/>
          <w:color w:val="auto"/>
        </w:rPr>
      </w:pPr>
    </w:p>
    <w:p>
      <w:pPr>
        <w:ind w:left="1720" w:right="1379" w:hanging="134"/>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our access to capital or increase in our cost of capital or insurance, including as a result of illiquidity, changes or uncertainty in domestic or international financial markets, foreign currency exchange rate fluctuations or investment sentiment.</w:t>
      </w:r>
    </w:p>
    <w:p>
      <w:pPr>
        <w:spacing w:after="0" w:line="51" w:lineRule="exact"/>
        <w:rPr>
          <w:rFonts w:ascii="Times New Roman" w:cs="Times New Roman" w:eastAsia="Times New Roman" w:hAnsi="Times New Roman"/>
          <w:sz w:val="14"/>
          <w:szCs w:val="14"/>
          <w:color w:val="auto"/>
        </w:rPr>
      </w:pPr>
    </w:p>
    <w:p>
      <w:pPr>
        <w:ind w:left="1720" w:right="1359" w:hanging="134"/>
        <w:spacing w:after="0" w:line="260"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or delays to our execution of, or successful implementation of any future asset dispositions or acquisitions we elect to pursue; potential disruption of our operations, including the diversion of management time and attention; our inability to realize anticipated cost savings or capital expenditure reductions; difficulties integrating acquired businesses and technologies; or other unanticipated changes.</w:t>
      </w:r>
    </w:p>
    <w:p>
      <w:pPr>
        <w:spacing w:after="0" w:line="228"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deploy the net proceeds from any asset dispositions that are pending or that we elect to undertake in the future in the manner and timeframe we anticipate, if at all.</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financing and management of risks of our joint ventures.</w:t>
      </w:r>
    </w:p>
    <w:p>
      <w:pPr>
        <w:spacing w:after="0" w:line="91" w:lineRule="exact"/>
        <w:rPr>
          <w:rFonts w:ascii="Times New Roman" w:cs="Times New Roman" w:eastAsia="Times New Roman" w:hAnsi="Times New Roman"/>
          <w:sz w:val="14"/>
          <w:szCs w:val="14"/>
          <w:color w:val="auto"/>
        </w:rPr>
      </w:pPr>
    </w:p>
    <w:p>
      <w:pPr>
        <w:ind w:left="1720" w:right="1479" w:hanging="134"/>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customers and other contractual counterparties to satisfy their obligations to us, including our ability to collect payments when due from the government of Venezuela or Petróleos de Venezuela, S.A.</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as to the long-term value of our common stock.</w:t>
      </w:r>
    </w:p>
    <w:p>
      <w:pPr>
        <w:spacing w:after="0" w:line="91" w:lineRule="exact"/>
        <w:rPr>
          <w:rFonts w:ascii="Times New Roman" w:cs="Times New Roman" w:eastAsia="Times New Roman" w:hAnsi="Times New Roman"/>
          <w:sz w:val="14"/>
          <w:szCs w:val="14"/>
          <w:color w:val="auto"/>
        </w:rPr>
      </w:pPr>
    </w:p>
    <w:p>
      <w:pPr>
        <w:ind w:left="1720" w:right="1439" w:hanging="134"/>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generally described in our most recent Annual Report on Form 10-K and any additional risks described in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59" w:firstLine="281"/>
        <w:spacing w:after="0" w:line="255" w:lineRule="auto"/>
        <w:rPr>
          <w:sz w:val="20"/>
          <w:szCs w:val="20"/>
          <w:color w:val="auto"/>
        </w:rPr>
      </w:pPr>
      <w:r>
        <w:rPr>
          <w:rFonts w:ascii="Times New Roman" w:cs="Times New Roman" w:eastAsia="Times New Roman" w:hAnsi="Times New Roman"/>
          <w:sz w:val="14"/>
          <w:szCs w:val="14"/>
          <w:color w:val="auto"/>
        </w:rPr>
        <w:t>Investing in our securities involves risk. Before you decide whether to purchase any of our securities, in addition to the other information, documents, or reports included in or incorporated by reference into this prospectus and any accompanying prospectus supplement or other offering materials, you should carefully consider the risk factors in the section entitled “Risk Factors” in any prospectus supplement as well as our most recent Annual Report on Form 10-K, which are incorporated by reference into this prospectus and any prospectus supplement in their entirety, as the same may be amended, supplemented, or superseded from time to time by our filings under the Exchange Act. For more information, see the section entitled “Where You Can Find More Information.” These risks could materially and adversely affect our business, results of operations and financial condition and could result in a partial or complete loss of your investment.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the net proceeds from the sale of the securities will be used for general corporate purposes, including repayment or refinancing of debt, acquisitions, working capital, capital expenditures and repurchases and redemptions of securities. Pending any specific application, we may initially invest funds in short-term marketable securities or apply them to the reduction of other short-term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5" w:lineRule="exact"/>
        <w:rPr>
          <w:sz w:val="20"/>
          <w:szCs w:val="20"/>
          <w:color w:val="auto"/>
        </w:rPr>
      </w:pPr>
    </w:p>
    <w:p>
      <w:pPr>
        <w:ind w:left="1300" w:right="1339" w:firstLine="281"/>
        <w:spacing w:after="0" w:line="245" w:lineRule="auto"/>
        <w:rPr>
          <w:sz w:val="20"/>
          <w:szCs w:val="20"/>
          <w:color w:val="auto"/>
        </w:rPr>
      </w:pPr>
      <w:r>
        <w:rPr>
          <w:rFonts w:ascii="Times New Roman" w:cs="Times New Roman" w:eastAsia="Times New Roman" w:hAnsi="Times New Roman"/>
          <w:sz w:val="14"/>
          <w:szCs w:val="14"/>
          <w:color w:val="auto"/>
        </w:rPr>
        <w:t>The debt securities of ConocoPhillips covered by this prospectus will be general unsecured obligations of ConocoPhillips. ConocoPhillips will issue senior debt securities fully and unconditionally guaranteed by CPCo on a senior unsecured basis under an indenture, dated as of October 9, 2002, among ConocoPhillips, as issuer, CPCo, as guarantor, and The Bank of New York Mellon Trust Company, N.A., as trustee. We refer to this indenture as the “ConocoPhillips senior indenture.” ConocoPhillips will issue subordinated debt securities under an indenture to be entered into between ConocoPhillips and The Bank of New York Mellon Trust Company, N.A., as trustee. We refer to this indenture as the “subordinated indenture.”</w:t>
      </w:r>
    </w:p>
    <w:p>
      <w:pPr>
        <w:spacing w:after="0" w:line="91"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The debt securities of CPCo covered by this prospectus will be general unsecured obligations of CPCo. CPCo will issue senior debt securities fully and unconditionally guaranteed by ConocoPhillips on a senior unsecured basis under an indenture, dated as of December 7, 2012, among CPCo, as issuer, ConocoPhillips, as guarantor, and The Bank of New York Mellon Trust Company, N.A., as trustee. We refer to this indenture as the “CPCo senior indenture.” We refer to the ConocoPhillips senior indenture and the CPCo senior indenture as the “senior indentures” and to the debt securities issued thereunder as the “senior debt securities.” We refer to the senior indentures and the subordinated indenture collectively as the “indentures.”</w:t>
      </w:r>
    </w:p>
    <w:p>
      <w:pPr>
        <w:spacing w:after="0" w:line="254"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The ConocoPhillips senior indenture and the CPCo senior indenture are substantially identical, except for the identity of the issuer and guarantor. The ConocoPhillips senior indenture and the subordinated indenture will be substantially identical, except for provisions relating to subordination and covenants.</w:t>
      </w:r>
    </w:p>
    <w:p>
      <w:pPr>
        <w:spacing w:after="0" w:line="79" w:lineRule="exact"/>
        <w:rPr>
          <w:sz w:val="20"/>
          <w:szCs w:val="20"/>
          <w:color w:val="auto"/>
        </w:rPr>
      </w:pPr>
    </w:p>
    <w:p>
      <w:pPr>
        <w:ind w:left="1300" w:right="1499" w:firstLine="281"/>
        <w:spacing w:after="0" w:line="251" w:lineRule="auto"/>
        <w:rPr>
          <w:sz w:val="20"/>
          <w:szCs w:val="20"/>
          <w:color w:val="auto"/>
        </w:rPr>
      </w:pPr>
      <w:r>
        <w:rPr>
          <w:rFonts w:ascii="Times New Roman" w:cs="Times New Roman" w:eastAsia="Times New Roman" w:hAnsi="Times New Roman"/>
          <w:sz w:val="14"/>
          <w:szCs w:val="14"/>
          <w:color w:val="auto"/>
        </w:rPr>
        <w:t>We have summarized material provisions of the indentures, the debt securities and the guarantees below, including the defined terms under “— Glossary.” This summary is not complete. We have filed the senior indentures and the form of subordinated indenture with the SEC as exhibits to the registration statement, and you should read the indentures for provisions that may be important to you.</w:t>
      </w:r>
    </w:p>
    <w:p>
      <w:pPr>
        <w:spacing w:after="0" w:line="84" w:lineRule="exact"/>
        <w:rPr>
          <w:sz w:val="20"/>
          <w:szCs w:val="20"/>
          <w:color w:val="auto"/>
        </w:rPr>
      </w:pPr>
    </w:p>
    <w:p>
      <w:pPr>
        <w:jc w:val="both"/>
        <w:ind w:left="1300" w:right="1679" w:firstLine="281"/>
        <w:spacing w:after="0" w:line="251" w:lineRule="auto"/>
        <w:rPr>
          <w:sz w:val="20"/>
          <w:szCs w:val="20"/>
          <w:color w:val="auto"/>
        </w:rPr>
      </w:pPr>
      <w:r>
        <w:rPr>
          <w:rFonts w:ascii="Times New Roman" w:cs="Times New Roman" w:eastAsia="Times New Roman" w:hAnsi="Times New Roman"/>
          <w:sz w:val="14"/>
          <w:szCs w:val="14"/>
          <w:color w:val="auto"/>
        </w:rPr>
        <w:t>In this summary description of the debt securities, unless we state otherwise or the context clearly indicates otherwise, all references to “ConocoPhillips” mean ConocoPhillips only and all references to “CPCo” mean ConocoPhillips Company only.</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Applicable to Each Indenture</w:t>
      </w:r>
    </w:p>
    <w:p>
      <w:pPr>
        <w:spacing w:after="0" w:line="113" w:lineRule="exact"/>
        <w:rPr>
          <w:sz w:val="20"/>
          <w:szCs w:val="20"/>
          <w:color w:val="auto"/>
        </w:rPr>
      </w:pPr>
    </w:p>
    <w:p>
      <w:pPr>
        <w:ind w:left="1300" w:right="135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Neither the ConocoPhillips senior indenture nor the subordinated indenture limits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of debt securities that may be issued under that indenture, and neither limits the amount of other unsecured debt or securities that ConocoPhillips may issue. ConocoPhillips may issue debt securities under the ConocoPhillips senior indenture and the subordinated indenture from time to time in one or more series, each in an amount authorized prior to issuance.</w:t>
      </w:r>
    </w:p>
    <w:p>
      <w:pPr>
        <w:spacing w:after="0" w:line="83" w:lineRule="exact"/>
        <w:rPr>
          <w:sz w:val="20"/>
          <w:szCs w:val="20"/>
          <w:color w:val="auto"/>
        </w:rPr>
      </w:pPr>
    </w:p>
    <w:p>
      <w:pPr>
        <w:jc w:val="both"/>
        <w:ind w:left="1300" w:right="1439" w:firstLine="281"/>
        <w:spacing w:after="0" w:line="251" w:lineRule="auto"/>
        <w:rPr>
          <w:sz w:val="20"/>
          <w:szCs w:val="20"/>
          <w:color w:val="auto"/>
        </w:rPr>
      </w:pPr>
      <w:r>
        <w:rPr>
          <w:rFonts w:ascii="Times New Roman" w:cs="Times New Roman" w:eastAsia="Times New Roman" w:hAnsi="Times New Roman"/>
          <w:sz w:val="14"/>
          <w:szCs w:val="14"/>
          <w:color w:val="auto"/>
        </w:rPr>
        <w:t>The CPCo senior indenture does not limit the amount of debt securities that may be issued under that indenture and does not limit the amount of other unsecured debt or securities that CPCo may issue. CPCo may issue debt securities under the CPCo senior indenture from time to time in one or more series, each in an amount authorized prior to issuance.</w:t>
      </w:r>
    </w:p>
    <w:p>
      <w:pPr>
        <w:spacing w:after="0" w:line="84" w:lineRule="exact"/>
        <w:rPr>
          <w:sz w:val="20"/>
          <w:szCs w:val="20"/>
          <w:color w:val="auto"/>
        </w:rPr>
      </w:pPr>
    </w:p>
    <w:p>
      <w:pPr>
        <w:ind w:left="1300" w:right="1339" w:firstLine="281"/>
        <w:spacing w:after="0" w:line="243" w:lineRule="auto"/>
        <w:rPr>
          <w:sz w:val="20"/>
          <w:szCs w:val="20"/>
          <w:color w:val="auto"/>
        </w:rPr>
      </w:pPr>
      <w:r>
        <w:rPr>
          <w:rFonts w:ascii="Times New Roman" w:cs="Times New Roman" w:eastAsia="Times New Roman" w:hAnsi="Times New Roman"/>
          <w:sz w:val="14"/>
          <w:szCs w:val="14"/>
          <w:color w:val="auto"/>
        </w:rPr>
        <w:t>Each of ConocoPhillips and CPCo conducts substantially all its operations through subsidiaries, and those subsidiaries generate substantially all of ConocoPhillips’ and CPCo’s operating income and cash flow. As a result, distributions or advances from those subsidiaries are the principal source of funds necessary to meet the debt service obligations of ConocoPhillips and CPCo. Contractual provisions or laws, as well as the subsidiaries’ financial condition and operating requirements, may limit the ability of ConocoPhillips or CPCo to obtain cash from its subsidiaries that it requires to pay its debt service obligations, including any payments required to be made under the debt securities. In addition, holders of the debt securities will have a junior position to the claims of creditors of the subsidiaries of ConocoPhillips or CPCo, as applicable, on their assets and earnings.</w:t>
      </w:r>
    </w:p>
    <w:p>
      <w:pPr>
        <w:spacing w:after="0" w:line="253" w:lineRule="exact"/>
        <w:rPr>
          <w:sz w:val="20"/>
          <w:szCs w:val="20"/>
          <w:color w:val="auto"/>
        </w:rPr>
      </w:pPr>
    </w:p>
    <w:p>
      <w:pPr>
        <w:ind w:left="1300" w:right="1339" w:firstLine="281"/>
        <w:spacing w:after="0" w:line="251" w:lineRule="auto"/>
        <w:rPr>
          <w:sz w:val="20"/>
          <w:szCs w:val="20"/>
          <w:color w:val="auto"/>
        </w:rPr>
      </w:pPr>
      <w:r>
        <w:rPr>
          <w:rFonts w:ascii="Times New Roman" w:cs="Times New Roman" w:eastAsia="Times New Roman" w:hAnsi="Times New Roman"/>
          <w:sz w:val="14"/>
          <w:szCs w:val="14"/>
          <w:color w:val="auto"/>
        </w:rPr>
        <w:t>Other than the restrictions contained in the senior indentures on liens and sale/leaseback transactions described below under “— Provisions Applicable Solely to Senior Debt Securities — Restrictive Covenants,” none of the indentures contains any covenants or other provisions designed to protect holders of the debt securities in the event ConocoPhillips or CPCo participates in a highly leveraged transaction or upon a change of control. The indentures also do not contain provisions that give holders the right to require</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779"/>
        <w:spacing w:after="0" w:line="259" w:lineRule="auto"/>
        <w:rPr>
          <w:sz w:val="20"/>
          <w:szCs w:val="20"/>
          <w:color w:val="auto"/>
        </w:rPr>
      </w:pPr>
      <w:r>
        <w:rPr>
          <w:rFonts w:ascii="Times New Roman" w:cs="Times New Roman" w:eastAsia="Times New Roman" w:hAnsi="Times New Roman"/>
          <w:sz w:val="14"/>
          <w:szCs w:val="14"/>
          <w:color w:val="auto"/>
        </w:rPr>
        <w:t>ConocoPhillips or CPCo to repurchase their securities in the event of a decline in ConocoPhillips’ or CPCo’s credit ratings for any reason, including as a result of a takeover, recapitalization or similar restructuring or otherwise.</w:t>
      </w:r>
    </w:p>
    <w:p>
      <w:pPr>
        <w:spacing w:after="0" w:line="77" w:lineRule="exact"/>
        <w:rPr>
          <w:sz w:val="20"/>
          <w:szCs w:val="20"/>
          <w:color w:val="auto"/>
        </w:rPr>
      </w:pPr>
    </w:p>
    <w:p>
      <w:pPr>
        <w:ind w:left="1300" w:right="145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Terms. </w:t>
      </w:r>
      <w:r>
        <w:rPr>
          <w:rFonts w:ascii="Times New Roman" w:cs="Times New Roman" w:eastAsia="Times New Roman" w:hAnsi="Times New Roman"/>
          <w:sz w:val="14"/>
          <w:szCs w:val="14"/>
          <w:color w:val="auto"/>
        </w:rPr>
        <w:t>The prospectus supplement relating to any series of debt securities being offered will include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specific terms relating to the offering. These terms will include some or all of the following:</w:t>
      </w:r>
    </w:p>
    <w:p>
      <w:pPr>
        <w:spacing w:after="0" w:line="38" w:lineRule="exact"/>
        <w:rPr>
          <w:sz w:val="20"/>
          <w:szCs w:val="20"/>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ConocoPhillips or CPCo will issue the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or subordinated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ConocoPhillips or CPCo will issue the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debt securities;</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individual certificates to each holder or in the form of temporary or permanent global securities held by a depositary on behalf of holders;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and any premium on the debt securities will be payable;</w:t>
      </w:r>
    </w:p>
    <w:p>
      <w:pPr>
        <w:spacing w:after="0" w:line="91" w:lineRule="exact"/>
        <w:rPr>
          <w:rFonts w:ascii="Times New Roman" w:cs="Times New Roman" w:eastAsia="Times New Roman" w:hAnsi="Times New Roman"/>
          <w:sz w:val="14"/>
          <w:szCs w:val="14"/>
          <w:color w:val="auto"/>
        </w:rPr>
      </w:pPr>
    </w:p>
    <w:p>
      <w:pPr>
        <w:ind w:left="1720" w:right="175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rate or rates, or the method of determination thereof, the date or dates from which interest will accrue, interest payment dates and record dates for interest payments;</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any additional amounts with respect to the debt securities will be payable;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payments on the debt securities will be payable;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optional redemption or early repayment;</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require the redemption, purchase or repayment of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w:t>
      </w:r>
    </w:p>
    <w:p>
      <w:pPr>
        <w:spacing w:after="0" w:line="9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payments on the debt securities will be payable in foreign currency or currency units or another form and whether payments will be payable by reference to any index or formula;</w:t>
      </w:r>
    </w:p>
    <w:p>
      <w:pPr>
        <w:spacing w:after="0" w:line="41" w:lineRule="exact"/>
        <w:rPr>
          <w:rFonts w:ascii="Times New Roman" w:cs="Times New Roman" w:eastAsia="Times New Roman" w:hAnsi="Times New Roman"/>
          <w:sz w:val="14"/>
          <w:szCs w:val="14"/>
          <w:color w:val="auto"/>
        </w:rPr>
      </w:pPr>
    </w:p>
    <w:p>
      <w:pPr>
        <w:ind w:left="1720" w:right="197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debt securities that will be payable if the maturity is accelerated, if other than the entire principal amount;</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means of defeasance of the debt securities, any additional conditions or limitations to defeasance of the debt securities or any changes to those conditions or limitations;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or additions to the events of default or covenants described in this prospectus;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or other provisions relating to the transfer or exchange of debt securities;</w:t>
      </w:r>
    </w:p>
    <w:p>
      <w:pPr>
        <w:spacing w:after="0" w:line="91" w:lineRule="exact"/>
        <w:rPr>
          <w:rFonts w:ascii="Times New Roman" w:cs="Times New Roman" w:eastAsia="Times New Roman" w:hAnsi="Times New Roman"/>
          <w:sz w:val="14"/>
          <w:szCs w:val="14"/>
          <w:color w:val="auto"/>
        </w:rPr>
      </w:pPr>
    </w:p>
    <w:p>
      <w:pPr>
        <w:ind w:left="1720" w:right="229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for the conversion or exchange of the debt securities for other securities of ConocoPhillips, CPCo or any other entity;</w:t>
      </w:r>
    </w:p>
    <w:p>
      <w:pPr>
        <w:spacing w:after="0" w:line="41" w:lineRule="exact"/>
        <w:rPr>
          <w:rFonts w:ascii="Times New Roman" w:cs="Times New Roman" w:eastAsia="Times New Roman" w:hAnsi="Times New Roman"/>
          <w:sz w:val="14"/>
          <w:szCs w:val="14"/>
          <w:color w:val="auto"/>
        </w:rPr>
      </w:pPr>
    </w:p>
    <w:p>
      <w:pPr>
        <w:ind w:left="1720" w:right="1739" w:hanging="134"/>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subordinated indenture, any changes to the subordination provisions for the subordinated debt securities; and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not inconsistent with the applicable indenture.</w:t>
      </w:r>
    </w:p>
    <w:p>
      <w:pPr>
        <w:spacing w:after="0" w:line="113" w:lineRule="exact"/>
        <w:rPr>
          <w:sz w:val="20"/>
          <w:szCs w:val="20"/>
          <w:color w:val="auto"/>
        </w:rPr>
      </w:pPr>
    </w:p>
    <w:p>
      <w:pPr>
        <w:ind w:left="1300" w:right="1399" w:firstLine="281"/>
        <w:spacing w:after="0" w:line="259" w:lineRule="auto"/>
        <w:rPr>
          <w:sz w:val="20"/>
          <w:szCs w:val="20"/>
          <w:color w:val="auto"/>
        </w:rPr>
      </w:pPr>
      <w:r>
        <w:rPr>
          <w:rFonts w:ascii="Times New Roman" w:cs="Times New Roman" w:eastAsia="Times New Roman" w:hAnsi="Times New Roman"/>
          <w:sz w:val="14"/>
          <w:szCs w:val="14"/>
          <w:color w:val="auto"/>
        </w:rPr>
        <w:t>ConocoPhillips and CPCo may sell the debt securities at a discount, which may be substantially below their stated principal amount. These debt securities may bear no interest or interest at a rate that at the time of issuance is below market rates. If ConocoPhillips or CPCo sells these debt securities, the applicable prospectus supplement will describe any material United States federal income tax consequences and other special considerations.</w:t>
      </w:r>
    </w:p>
    <w:p>
      <w:pPr>
        <w:spacing w:after="0" w:line="89" w:lineRule="exact"/>
        <w:rPr>
          <w:sz w:val="20"/>
          <w:szCs w:val="20"/>
          <w:color w:val="auto"/>
        </w:rPr>
      </w:pPr>
    </w:p>
    <w:p>
      <w:pPr>
        <w:ind w:left="1300" w:right="1419" w:firstLine="281"/>
        <w:spacing w:after="0" w:line="261" w:lineRule="auto"/>
        <w:rPr>
          <w:sz w:val="20"/>
          <w:szCs w:val="20"/>
          <w:color w:val="auto"/>
        </w:rPr>
      </w:pPr>
      <w:r>
        <w:rPr>
          <w:rFonts w:ascii="Times New Roman" w:cs="Times New Roman" w:eastAsia="Times New Roman" w:hAnsi="Times New Roman"/>
          <w:sz w:val="14"/>
          <w:szCs w:val="14"/>
          <w:color w:val="auto"/>
        </w:rPr>
        <w:t>If ConocoPhillips or CPCo sells any of the debt securities for any foreign currency or currency unit or if payments on the debt securities are payable in any foreign currency or currency unit, the applicable prospectus supplement will describe the restrictions, elections, tax consequences, specific terms and other information relating to those debt securities and the foreign currency or currency unit.</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419" w:firstLine="28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Consolidation, Merger and Sale of Assets. </w:t>
      </w:r>
      <w:r>
        <w:rPr>
          <w:rFonts w:ascii="Times New Roman" w:cs="Times New Roman" w:eastAsia="Times New Roman" w:hAnsi="Times New Roman"/>
          <w:sz w:val="14"/>
          <w:szCs w:val="14"/>
          <w:color w:val="auto"/>
        </w:rPr>
        <w:t>The indentures generally permit a consolidation or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involving ConocoPhillips or, with respect to the senior indentures, CPCo. They also permit ConocoPhillips or CPCo, as applicable, to lease, transfer or dispose of all or substantially all of its assets. Each of ConocoPhillips and, with respect to the senior indentures, CPCo has agreed, however, that it will not consolidate with or merge into any entity (other than, with respect to the senior indentures, ConocoPhillips or CPCo, as applicable) or lease, transfer or dispose of all or substantially all of its assets to any entity (other than, with respect to the senior indentures, ConocoPhillips or CPCo, as applicable) unless:</w:t>
      </w:r>
    </w:p>
    <w:p>
      <w:pPr>
        <w:spacing w:after="0" w:line="57" w:lineRule="exact"/>
        <w:rPr>
          <w:sz w:val="20"/>
          <w:szCs w:val="20"/>
          <w:color w:val="auto"/>
        </w:rPr>
      </w:pPr>
    </w:p>
    <w:p>
      <w:pPr>
        <w:ind w:left="1720" w:hanging="134"/>
        <w:spacing w:after="0"/>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the continuing person; or</w:t>
      </w:r>
    </w:p>
    <w:p>
      <w:pPr>
        <w:spacing w:after="0" w:line="91" w:lineRule="exact"/>
        <w:rPr>
          <w:rFonts w:ascii="Times New Roman" w:cs="Times New Roman" w:eastAsia="Times New Roman" w:hAnsi="Times New Roman"/>
          <w:sz w:val="14"/>
          <w:szCs w:val="14"/>
          <w:color w:val="auto"/>
        </w:rPr>
      </w:pPr>
    </w:p>
    <w:p>
      <w:pPr>
        <w:ind w:left="1720" w:right="1359" w:hanging="134"/>
        <w:spacing w:after="0" w:line="261"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it is not the continuing person, the resulting entity or transferee is organized and existing under the laws of any United States jurisdiction and assumes the performance of its covenants and obligations under the indentures and the due and punctual payments on the debt securities or the performance of the related guarantees, as applicable; and</w:t>
      </w:r>
    </w:p>
    <w:p>
      <w:pPr>
        <w:spacing w:after="0" w:line="57"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either case, immediately after giving effect to the transaction, no default or event of default would occur and be continuing or would result from the transaction.</w:t>
      </w:r>
    </w:p>
    <w:p>
      <w:pPr>
        <w:spacing w:after="0" w:line="62" w:lineRule="exact"/>
        <w:rPr>
          <w:sz w:val="20"/>
          <w:szCs w:val="20"/>
          <w:color w:val="auto"/>
        </w:rPr>
      </w:pPr>
    </w:p>
    <w:p>
      <w:pPr>
        <w:ind w:left="1300" w:right="1459" w:firstLine="281"/>
        <w:spacing w:after="0" w:line="251" w:lineRule="auto"/>
        <w:rPr>
          <w:sz w:val="20"/>
          <w:szCs w:val="20"/>
          <w:color w:val="auto"/>
        </w:rPr>
      </w:pPr>
      <w:r>
        <w:rPr>
          <w:rFonts w:ascii="Times New Roman" w:cs="Times New Roman" w:eastAsia="Times New Roman" w:hAnsi="Times New Roman"/>
          <w:sz w:val="14"/>
          <w:szCs w:val="14"/>
          <w:color w:val="auto"/>
        </w:rPr>
        <w:t>Upon any such consolidation, merger or asset sale, lease, conveyance, transfer or other disposition involving ConocoPhillips or, with respect to the senior indentures, CPCo, the resulting entity or transferee will be substituted for ConocoPhillips or CPCo, as applicable, under the applicable indenture and debt securities. In the case of an asset transfer or disposition other than a lease, ConocoPhillips or CPCo, as applicable, will be released from the applicable indenture.</w:t>
      </w:r>
    </w:p>
    <w:p>
      <w:pPr>
        <w:spacing w:after="0" w:line="82" w:lineRule="exact"/>
        <w:rPr>
          <w:sz w:val="20"/>
          <w:szCs w:val="20"/>
          <w:color w:val="auto"/>
        </w:rPr>
      </w:pPr>
    </w:p>
    <w:p>
      <w:pPr>
        <w:ind w:left="1300" w:right="141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Modification and Waiver. </w:t>
      </w:r>
      <w:r>
        <w:rPr>
          <w:rFonts w:ascii="Times New Roman" w:cs="Times New Roman" w:eastAsia="Times New Roman" w:hAnsi="Times New Roman"/>
          <w:sz w:val="14"/>
          <w:szCs w:val="14"/>
          <w:color w:val="auto"/>
        </w:rPr>
        <w:t>Each indenture may be amended or supplemented if the holders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majority in principal amount of the outstanding debt securities of all series issued under that indenture that are affected by the amendment or supplement (acting as one class) consent to it. Without the consent of the holder of each debt security affected, however, no modification may:</w:t>
      </w:r>
    </w:p>
    <w:p>
      <w:pPr>
        <w:spacing w:after="0" w:line="52" w:lineRule="exact"/>
        <w:rPr>
          <w:sz w:val="20"/>
          <w:szCs w:val="20"/>
          <w:color w:val="auto"/>
        </w:rPr>
      </w:pPr>
    </w:p>
    <w:p>
      <w:pPr>
        <w:ind w:left="1720" w:right="1519" w:hanging="134"/>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the debt security;</w:t>
      </w:r>
    </w:p>
    <w:p>
      <w:pPr>
        <w:spacing w:after="0" w:line="81" w:lineRule="exact"/>
        <w:rPr>
          <w:rFonts w:ascii="Times New Roman" w:cs="Times New Roman" w:eastAsia="Times New Roman" w:hAnsi="Times New Roman"/>
          <w:sz w:val="14"/>
          <w:szCs w:val="14"/>
          <w:color w:val="auto"/>
        </w:rPr>
      </w:pPr>
    </w:p>
    <w:p>
      <w:pPr>
        <w:ind w:left="1720" w:right="1439" w:hanging="134"/>
        <w:spacing w:after="0" w:line="261"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any premium on or any mandatory sinking fund payment with respect to, or change the stated maturity of, any debt security or reduce the amount of the principal of an original issue discount security that would be due and payable upon a declaration of acceleration of the maturity thereof;</w:t>
      </w:r>
    </w:p>
    <w:p>
      <w:pPr>
        <w:spacing w:after="0" w:line="57" w:lineRule="exact"/>
        <w:rPr>
          <w:rFonts w:ascii="Times New Roman" w:cs="Times New Roman" w:eastAsia="Times New Roman" w:hAnsi="Times New Roman"/>
          <w:sz w:val="14"/>
          <w:szCs w:val="14"/>
          <w:color w:val="auto"/>
        </w:rPr>
      </w:pPr>
    </w:p>
    <w:p>
      <w:pPr>
        <w:ind w:left="1720" w:right="1439" w:hanging="134"/>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on the redemption of the debt security or change the time at which the debt security may or must be redeemed;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to pay additional amounts on the debt security;</w:t>
      </w:r>
    </w:p>
    <w:p>
      <w:pPr>
        <w:spacing w:after="0" w:line="9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on the debt security payable in currency other than as originally stated in the debt security;</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holder’s right to institute suit for the enforcement of any payment on or with respect to the debt security;</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76"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percentage of principal amount of debt securities necessary to waive compliance with certain provisions of the indenture or to make any change in the provision related to modification;</w:t>
      </w:r>
    </w:p>
    <w:p>
      <w:pPr>
        <w:spacing w:after="0" w:line="218"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subordinated indenture, modify the provisions relating to the subordination of any subordinated debt security in a manner adverse to the holder of that security; or</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continuing default or event of default regarding any payment on the debt securities.</w:t>
      </w:r>
    </w:p>
    <w:p>
      <w:pPr>
        <w:spacing w:after="0" w:line="123" w:lineRule="exact"/>
        <w:rPr>
          <w:sz w:val="20"/>
          <w:szCs w:val="20"/>
          <w:color w:val="auto"/>
        </w:rPr>
      </w:pPr>
    </w:p>
    <w:p>
      <w:pPr>
        <w:jc w:val="both"/>
        <w:ind w:left="1300" w:right="1519" w:firstLine="281"/>
        <w:spacing w:after="0" w:line="259" w:lineRule="auto"/>
        <w:rPr>
          <w:sz w:val="20"/>
          <w:szCs w:val="20"/>
          <w:color w:val="auto"/>
        </w:rPr>
      </w:pPr>
      <w:r>
        <w:rPr>
          <w:rFonts w:ascii="Times New Roman" w:cs="Times New Roman" w:eastAsia="Times New Roman" w:hAnsi="Times New Roman"/>
          <w:sz w:val="14"/>
          <w:szCs w:val="14"/>
          <w:color w:val="auto"/>
        </w:rPr>
        <w:t>Each indenture may be amended or supplemented or any provision of that indenture may be waived without the consent of any holders of debt securities issued under that indenture in certain circumstances, including:</w:t>
      </w:r>
    </w:p>
    <w:p>
      <w:pPr>
        <w:spacing w:after="0" w:line="47" w:lineRule="exact"/>
        <w:rPr>
          <w:sz w:val="20"/>
          <w:szCs w:val="20"/>
          <w:color w:val="auto"/>
        </w:rPr>
      </w:pPr>
    </w:p>
    <w:p>
      <w:pPr>
        <w:ind w:left="4460" w:right="3939" w:hanging="2874"/>
        <w:spacing w:after="0" w:line="489" w:lineRule="auto"/>
        <w:tabs>
          <w:tab w:leader="none" w:pos="173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389890</wp:posOffset>
            </wp:positionV>
            <wp:extent cx="533082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719" w:hanging="134"/>
        <w:spacing w:after="0" w:line="26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the obligations under the indenture of ConocoPhillips or, with respect to the senior indentures, CPCo by a successor upon any merger, consolidation or asset transfer permitted under the indenture;</w:t>
      </w:r>
    </w:p>
    <w:p>
      <w:pPr>
        <w:spacing w:after="0" w:line="5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 or to provide for bearer debt securities;</w:t>
      </w:r>
    </w:p>
    <w:p>
      <w:pPr>
        <w:spacing w:after="0" w:line="41" w:lineRule="exact"/>
        <w:rPr>
          <w:rFonts w:ascii="Times New Roman" w:cs="Times New Roman" w:eastAsia="Times New Roman" w:hAnsi="Times New Roman"/>
          <w:sz w:val="14"/>
          <w:szCs w:val="14"/>
          <w:color w:val="auto"/>
        </w:rPr>
      </w:pPr>
    </w:p>
    <w:p>
      <w:pPr>
        <w:ind w:left="1720" w:right="1819" w:hanging="134"/>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any security for, any guarantees of or any additional obligors on any series of debt securities or, with respect to the ConocoPhillips senior indenture, the related guarantees;</w:t>
      </w:r>
    </w:p>
    <w:p>
      <w:pPr>
        <w:spacing w:after="0" w:line="30" w:lineRule="exact"/>
        <w:rPr>
          <w:rFonts w:ascii="Times New Roman" w:cs="Times New Roman" w:eastAsia="Times New Roman" w:hAnsi="Times New Roman"/>
          <w:sz w:val="14"/>
          <w:szCs w:val="14"/>
          <w:color w:val="auto"/>
        </w:rPr>
      </w:pPr>
    </w:p>
    <w:p>
      <w:pPr>
        <w:ind w:left="1720" w:right="1579" w:hanging="134"/>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 to effect or maintain the qualification of that indenture under the Trust Indenture Act of 1939, as amended;</w:t>
      </w:r>
    </w:p>
    <w:p>
      <w:pPr>
        <w:spacing w:after="0" w:line="41"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that would benefit the holders of any debt securities or to surrender any rights ConocoPhillips or, with respect to the senior indentures, CPCo has under the indenture;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events of default with respect to any debt securities;</w:t>
      </w:r>
    </w:p>
    <w:p>
      <w:pPr>
        <w:spacing w:after="0" w:line="91" w:lineRule="exact"/>
        <w:rPr>
          <w:rFonts w:ascii="Times New Roman" w:cs="Times New Roman" w:eastAsia="Times New Roman" w:hAnsi="Times New Roman"/>
          <w:sz w:val="14"/>
          <w:szCs w:val="14"/>
          <w:color w:val="auto"/>
        </w:rPr>
      </w:pPr>
    </w:p>
    <w:p>
      <w:pPr>
        <w:ind w:left="1720" w:right="1719" w:hanging="134"/>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any outstanding debt securities of any series issued under that indenture in any material respect;</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debt securities of any series;</w:t>
      </w:r>
    </w:p>
    <w:p>
      <w:pPr>
        <w:spacing w:after="0" w:line="91" w:lineRule="exact"/>
        <w:rPr>
          <w:rFonts w:ascii="Times New Roman" w:cs="Times New Roman" w:eastAsia="Times New Roman" w:hAnsi="Times New Roman"/>
          <w:sz w:val="14"/>
          <w:szCs w:val="14"/>
          <w:color w:val="auto"/>
        </w:rPr>
      </w:pPr>
    </w:p>
    <w:p>
      <w:pPr>
        <w:ind w:left="1720" w:right="1419" w:hanging="134"/>
        <w:spacing w:after="0" w:line="261"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an indenture to such extent as shall be necessary to permit or facilitate the defeasance and discharge of any series of debt securities; provided, however, that any such action shall not adversely affect the interest of the holders of debt securities of such series or any other series of debt securities in any material respect; and</w:t>
      </w:r>
    </w:p>
    <w:p>
      <w:pPr>
        <w:spacing w:after="0" w:line="57" w:lineRule="exact"/>
        <w:rPr>
          <w:rFonts w:ascii="Times New Roman" w:cs="Times New Roman" w:eastAsia="Times New Roman" w:hAnsi="Times New Roman"/>
          <w:sz w:val="14"/>
          <w:szCs w:val="14"/>
          <w:color w:val="auto"/>
        </w:rPr>
      </w:pPr>
    </w:p>
    <w:p>
      <w:pPr>
        <w:jc w:val="both"/>
        <w:ind w:left="1720" w:right="1359" w:hanging="134"/>
        <w:spacing w:after="0" w:line="264"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by a successor trustee with respect to the debt securities of one or more series and to add to or change any of the provisions of an indenture as shall be necessary to provide for or facilitate the administration of the trusts thereunder by more than one trustee.</w:t>
      </w:r>
    </w:p>
    <w:p>
      <w:pPr>
        <w:spacing w:after="0" w:line="247" w:lineRule="exact"/>
        <w:rPr>
          <w:sz w:val="20"/>
          <w:szCs w:val="20"/>
          <w:color w:val="auto"/>
        </w:rPr>
      </w:pPr>
    </w:p>
    <w:p>
      <w:pPr>
        <w:ind w:left="1300" w:right="1399" w:firstLine="281"/>
        <w:spacing w:after="0" w:line="251"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82" w:lineRule="exact"/>
        <w:rPr>
          <w:sz w:val="20"/>
          <w:szCs w:val="20"/>
          <w:color w:val="auto"/>
        </w:rPr>
      </w:pPr>
    </w:p>
    <w:p>
      <w:pPr>
        <w:ind w:left="1300" w:right="1339" w:firstLine="281"/>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When we use the term defeasance, we mean discharge from some or all of the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ConocoPhillips or CPCo, as applicable, under the indentures. If any combination of funds or government securities are deposited with the trustee under an indenture sufficient to make payments on the debt securities of a series issued under that indenture on the dates those payments are due and payable, then, at the option of ConocoPhillips, or with respect to the CPCo senior indenture, CPCo, either of the following will occur:</w:t>
      </w:r>
    </w:p>
    <w:p>
      <w:pPr>
        <w:spacing w:after="0" w:line="222" w:lineRule="exact"/>
        <w:rPr>
          <w:sz w:val="20"/>
          <w:szCs w:val="20"/>
          <w:color w:val="auto"/>
        </w:rPr>
      </w:pPr>
    </w:p>
    <w:p>
      <w:pPr>
        <w:jc w:val="both"/>
        <w:ind w:left="1720" w:right="1419" w:hanging="134"/>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ConocoPhillips and, with respect to the senior indentures, CPCo will be discharged from its or their obligations with respect to the debt securities of that series and, if applicable, the related guarantees (“legal defeasance”); or</w:t>
      </w:r>
    </w:p>
    <w:p>
      <w:pPr>
        <w:spacing w:after="0" w:line="51" w:lineRule="exact"/>
        <w:rPr>
          <w:rFonts w:ascii="Times New Roman" w:cs="Times New Roman" w:eastAsia="Times New Roman" w:hAnsi="Times New Roman"/>
          <w:sz w:val="14"/>
          <w:szCs w:val="14"/>
          <w:color w:val="auto"/>
        </w:rPr>
      </w:pPr>
    </w:p>
    <w:p>
      <w:pPr>
        <w:ind w:left="1720" w:right="1459" w:hanging="134"/>
        <w:spacing w:after="0" w:line="264"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ConocoPhillips and, with respect to the senior indentures, CPCo will no longer have any obligation to comply with the restrictive covenants, the merger covenant and other specified covenants under the applicable indenture, and the related events of default will no longer apply (“covenant defeasance”).</w:t>
      </w:r>
    </w:p>
    <w:p>
      <w:pPr>
        <w:spacing w:after="0" w:line="258"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or maintain paying agencies and hold moneys for payment in trust. In the case of covenant defeasance, the obligation of ConocoPhillips or, with respect to the CPCo senior indenture, CPCo to pay principal, premium and interest on the debt securities and, if applicable, CPCo’s or ConocoPhillips’ guarantees of the payments will also survive.</w:t>
      </w:r>
    </w:p>
    <w:p>
      <w:pPr>
        <w:spacing w:after="0" w:line="91" w:lineRule="exact"/>
        <w:rPr>
          <w:sz w:val="20"/>
          <w:szCs w:val="20"/>
          <w:color w:val="auto"/>
        </w:rPr>
      </w:pPr>
    </w:p>
    <w:p>
      <w:pPr>
        <w:ind w:left="1300" w:right="1359" w:firstLine="281"/>
        <w:spacing w:after="0" w:line="283"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be required to deliver to the trustee an opinion of counsel that the deposit and related defeasance would not cause the holders of the debt</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59" w:lineRule="auto"/>
        <w:rPr>
          <w:sz w:val="20"/>
          <w:szCs w:val="20"/>
          <w:color w:val="auto"/>
        </w:rPr>
      </w:pPr>
      <w:r>
        <w:rPr>
          <w:rFonts w:ascii="Times New Roman" w:cs="Times New Roman" w:eastAsia="Times New Roman" w:hAnsi="Times New Roman"/>
          <w:sz w:val="14"/>
          <w:szCs w:val="14"/>
          <w:color w:val="auto"/>
        </w:rPr>
        <w:t>securities to recognize income, gain or loss for U.S. federal income tax purposes. If we elect legal defeasance, that opinion of counsel must be based upon a ruling from the U.S. Internal Revenue Service or a change in law to that effect.</w:t>
      </w:r>
    </w:p>
    <w:p>
      <w:pPr>
        <w:spacing w:after="0" w:line="77" w:lineRule="exact"/>
        <w:rPr>
          <w:sz w:val="20"/>
          <w:szCs w:val="20"/>
          <w:color w:val="auto"/>
        </w:rPr>
      </w:pPr>
    </w:p>
    <w:p>
      <w:pPr>
        <w:ind w:left="1580"/>
        <w:spacing w:after="0"/>
        <w:tabs>
          <w:tab w:leader="none" w:pos="2620" w:val="left"/>
        </w:tabs>
        <w:rPr>
          <w:sz w:val="20"/>
          <w:szCs w:val="20"/>
          <w:color w:val="auto"/>
        </w:rPr>
      </w:pPr>
      <w:r>
        <w:rPr>
          <w:rFonts w:ascii="Times New Roman" w:cs="Times New Roman" w:eastAsia="Times New Roman" w:hAnsi="Times New Roman"/>
          <w:sz w:val="14"/>
          <w:szCs w:val="14"/>
          <w:i w:val="1"/>
          <w:iCs w:val="1"/>
          <w:color w:val="auto"/>
        </w:rPr>
        <w:t>Governing Law.</w:t>
      </w:r>
      <w:r>
        <w:rPr>
          <w:sz w:val="20"/>
          <w:szCs w:val="20"/>
          <w:color w:val="auto"/>
        </w:rPr>
        <w:tab/>
      </w:r>
      <w:r>
        <w:rPr>
          <w:rFonts w:ascii="Times New Roman" w:cs="Times New Roman" w:eastAsia="Times New Roman" w:hAnsi="Times New Roman"/>
          <w:sz w:val="14"/>
          <w:szCs w:val="14"/>
          <w:color w:val="auto"/>
        </w:rPr>
        <w:t>New York law will govern the indentures and the debt securities.</w:t>
      </w:r>
    </w:p>
    <w:p>
      <w:pPr>
        <w:spacing w:after="0" w:line="123"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Trustee. </w:t>
      </w:r>
      <w:r>
        <w:rPr>
          <w:rFonts w:ascii="Times New Roman" w:cs="Times New Roman" w:eastAsia="Times New Roman" w:hAnsi="Times New Roman"/>
          <w:sz w:val="14"/>
          <w:szCs w:val="14"/>
          <w:color w:val="auto"/>
        </w:rPr>
        <w:t>The Bank of New York Mellon Trust Company, N.A. is the trustee under the senior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indentures and will be the trustee under the subordinated indenture. The Bank of New York Mellon Trust Company, N.A. serves as trustee or custodian relating to a number of series of debt and other long-term repayment obligations of ConocoPhillips and its subsidiaries as of June 30, 2026. The Bank of New York Mellon Trust Company, N.A. and its affiliates perform certain commercial banking services for us for which they receive customary fees and are lenders under various outstanding credit facilities of subsidiaries of ConocoPhillips.</w:t>
      </w:r>
    </w:p>
    <w:p>
      <w:pPr>
        <w:spacing w:after="0" w:line="254" w:lineRule="exact"/>
        <w:rPr>
          <w:sz w:val="20"/>
          <w:szCs w:val="20"/>
          <w:color w:val="auto"/>
        </w:rPr>
      </w:pPr>
    </w:p>
    <w:p>
      <w:pPr>
        <w:ind w:left="1300" w:right="1339" w:firstLine="281"/>
        <w:spacing w:after="0" w:line="247" w:lineRule="auto"/>
        <w:rPr>
          <w:sz w:val="20"/>
          <w:szCs w:val="20"/>
          <w:color w:val="auto"/>
        </w:rPr>
      </w:pPr>
      <w:r>
        <w:rPr>
          <w:rFonts w:ascii="Times New Roman" w:cs="Times New Roman" w:eastAsia="Times New Roman" w:hAnsi="Times New Roman"/>
          <w:sz w:val="14"/>
          <w:szCs w:val="14"/>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87"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color w:val="auto"/>
        </w:rPr>
        <w:t>Each indenture contains limitations on the right of the trustee, if it becomes a creditor of ConocoPhillips or, if applicable, CPCo, to obtain payment of claims or to realize on certain property received for any such claim, as security or otherwise. The trustee is permitted to engage in other transactions with ConocoPhillips and, if applicable, CPCo. If, however, it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w:t>
      </w:r>
    </w:p>
    <w:p>
      <w:pPr>
        <w:spacing w:after="0" w:line="250" w:lineRule="exact"/>
        <w:rPr>
          <w:sz w:val="20"/>
          <w:szCs w:val="20"/>
          <w:color w:val="auto"/>
        </w:rPr>
      </w:pPr>
    </w:p>
    <w:p>
      <w:pPr>
        <w:ind w:left="1300" w:right="139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Form, Exchange, Registration and Transfer. </w:t>
      </w:r>
      <w:r>
        <w:rPr>
          <w:rFonts w:ascii="Times New Roman" w:cs="Times New Roman" w:eastAsia="Times New Roman" w:hAnsi="Times New Roman"/>
          <w:sz w:val="14"/>
          <w:szCs w:val="14"/>
          <w:color w:val="auto"/>
        </w:rPr>
        <w:t>The debt securities will be issued in registered 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interest coupons. There will be no service charge for any registration of transfer or exchange of the debt securities. However, payment of any transfer tax or similar governmental charge payable for that registration may be required.</w:t>
      </w:r>
    </w:p>
    <w:p>
      <w:pPr>
        <w:spacing w:after="0" w:line="83" w:lineRule="exact"/>
        <w:rPr>
          <w:sz w:val="20"/>
          <w:szCs w:val="20"/>
          <w:color w:val="auto"/>
        </w:rPr>
      </w:pPr>
    </w:p>
    <w:p>
      <w:pPr>
        <w:ind w:left="1300" w:right="1359" w:firstLine="281"/>
        <w:spacing w:after="0" w:line="245" w:lineRule="auto"/>
        <w:rPr>
          <w:sz w:val="20"/>
          <w:szCs w:val="20"/>
          <w:color w:val="auto"/>
        </w:rPr>
      </w:pPr>
      <w:r>
        <w:rPr>
          <w:rFonts w:ascii="Times New Roman" w:cs="Times New Roman" w:eastAsia="Times New Roman" w:hAnsi="Times New Roman"/>
          <w:sz w:val="14"/>
          <w:szCs w:val="14"/>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ConocoPhillips or, if applicable, CPCo designates. The security registrar or transfer agent will effect the transfer or exchange if its requirements and the requirements of the applicable indenture are met.</w:t>
      </w:r>
    </w:p>
    <w:p>
      <w:pPr>
        <w:spacing w:after="0" w:line="252" w:lineRule="exact"/>
        <w:rPr>
          <w:sz w:val="20"/>
          <w:szCs w:val="20"/>
          <w:color w:val="auto"/>
        </w:rPr>
      </w:pPr>
    </w:p>
    <w:p>
      <w:pPr>
        <w:ind w:left="1300" w:right="1419" w:firstLine="281"/>
        <w:spacing w:after="0" w:line="248" w:lineRule="auto"/>
        <w:rPr>
          <w:sz w:val="20"/>
          <w:szCs w:val="20"/>
          <w:color w:val="auto"/>
        </w:rPr>
      </w:pPr>
      <w:r>
        <w:rPr>
          <w:rFonts w:ascii="Times New Roman" w:cs="Times New Roman" w:eastAsia="Times New Roman" w:hAnsi="Times New Roman"/>
          <w:sz w:val="14"/>
          <w:szCs w:val="14"/>
          <w:color w:val="auto"/>
        </w:rPr>
        <w:t>The trustee will be appointed as security registrar for the debt securities. If a prospectus supplement refers to any transfer agents ConocoPhillips or, if applicable, CPCo initially designates, ConocoPhillips or, if applicable, CPCo may at any time rescind that designation or approve a change in the location through which any transfer agent acts. ConocoPhillips and CPCo are required to maintain an office or agency for transfers and exchanges in each place of payment. ConocoPhillips and CPCo may at any time designate additional transfer agents for any series of debt securities.</w:t>
      </w:r>
    </w:p>
    <w:p>
      <w:pPr>
        <w:spacing w:after="0" w:line="86" w:lineRule="exact"/>
        <w:rPr>
          <w:sz w:val="20"/>
          <w:szCs w:val="20"/>
          <w:color w:val="auto"/>
        </w:rPr>
      </w:pPr>
    </w:p>
    <w:p>
      <w:pPr>
        <w:ind w:left="1300" w:right="1499" w:firstLine="281"/>
        <w:spacing w:after="0" w:line="268" w:lineRule="auto"/>
        <w:rPr>
          <w:sz w:val="20"/>
          <w:szCs w:val="20"/>
          <w:color w:val="auto"/>
        </w:rPr>
      </w:pPr>
      <w:r>
        <w:rPr>
          <w:rFonts w:ascii="Times New Roman" w:cs="Times New Roman" w:eastAsia="Times New Roman" w:hAnsi="Times New Roman"/>
          <w:sz w:val="14"/>
          <w:szCs w:val="14"/>
          <w:color w:val="auto"/>
        </w:rPr>
        <w:t>In the case of any redemption, ConocoPhillips or, if applicable, CPCo will not be required to register the transfer or exchange of:</w:t>
      </w:r>
    </w:p>
    <w:p>
      <w:pPr>
        <w:spacing w:after="0" w:line="51" w:lineRule="exact"/>
        <w:rPr>
          <w:sz w:val="20"/>
          <w:szCs w:val="20"/>
          <w:color w:val="auto"/>
        </w:rPr>
      </w:pPr>
    </w:p>
    <w:p>
      <w:pPr>
        <w:ind w:left="1720" w:right="1359" w:hanging="134"/>
        <w:spacing w:after="0" w:line="276"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debt security during a period beginning 15 business days prior to the mailing of the relevant notice of redemption or repurchase and ending on the close of business on the day of mailing of such notice; or</w:t>
      </w:r>
    </w:p>
    <w:p>
      <w:pPr>
        <w:spacing w:after="0" w:line="208"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debt security that has been called for redemption in whole or in part, except the unredeemed portion of any debt security being redeemed in part.</w:t>
      </w:r>
    </w:p>
    <w:p>
      <w:pPr>
        <w:spacing w:after="0" w:line="71"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Payment and Paying Agents. </w:t>
      </w:r>
      <w:r>
        <w:rPr>
          <w:rFonts w:ascii="Times New Roman" w:cs="Times New Roman" w:eastAsia="Times New Roman" w:hAnsi="Times New Roman"/>
          <w:sz w:val="14"/>
          <w:szCs w:val="14"/>
          <w:color w:val="auto"/>
        </w:rPr>
        <w:t>Unless we inform you otherwise in a prospectus supplement,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the debt securities will be made in U.S. dollars at the office of the trustee and any paying agent. At the option of ConocoPhillips, or with respect to the CPCo senior debt securities, CPCo, however, payments may</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59"/>
        <w:spacing w:after="0" w:line="251" w:lineRule="auto"/>
        <w:rPr>
          <w:sz w:val="20"/>
          <w:szCs w:val="20"/>
          <w:color w:val="auto"/>
        </w:rPr>
      </w:pPr>
      <w:r>
        <w:rPr>
          <w:rFonts w:ascii="Times New Roman" w:cs="Times New Roman" w:eastAsia="Times New Roman" w:hAnsi="Times New Roman"/>
          <w:sz w:val="14"/>
          <w:szCs w:val="14"/>
          <w:color w:val="auto"/>
        </w:rPr>
        <w:t>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84"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Unless we inform you otherwise in a prospectus supplement, the trustee under the applicable indenture will be designated as the paying agent for payments on debt securities issued under that indenture.</w:t>
      </w:r>
    </w:p>
    <w:p>
      <w:pPr>
        <w:spacing w:after="0" w:line="62" w:lineRule="exact"/>
        <w:rPr>
          <w:sz w:val="20"/>
          <w:szCs w:val="20"/>
          <w:color w:val="auto"/>
        </w:rPr>
      </w:pPr>
    </w:p>
    <w:p>
      <w:pPr>
        <w:jc w:val="both"/>
        <w:ind w:left="1300" w:right="1419" w:firstLine="281"/>
        <w:spacing w:after="0" w:line="268" w:lineRule="auto"/>
        <w:rPr>
          <w:sz w:val="20"/>
          <w:szCs w:val="20"/>
          <w:color w:val="auto"/>
        </w:rPr>
      </w:pPr>
      <w:r>
        <w:rPr>
          <w:rFonts w:ascii="Times New Roman" w:cs="Times New Roman" w:eastAsia="Times New Roman" w:hAnsi="Times New Roman"/>
          <w:sz w:val="14"/>
          <w:szCs w:val="14"/>
          <w:color w:val="auto"/>
        </w:rPr>
        <w:t>ConocoPhillips or CPCo, as applicable, may at any time designate additional paying agents or rescind the designation of any paying agent or approve a change in the office through which any paying agent acts.</w:t>
      </w:r>
    </w:p>
    <w:p>
      <w:pPr>
        <w:spacing w:after="0" w:line="72" w:lineRule="exact"/>
        <w:rPr>
          <w:sz w:val="20"/>
          <w:szCs w:val="20"/>
          <w:color w:val="auto"/>
        </w:rPr>
      </w:pPr>
    </w:p>
    <w:p>
      <w:pPr>
        <w:ind w:left="1300" w:right="1359" w:firstLine="281"/>
        <w:spacing w:after="0" w:line="248" w:lineRule="auto"/>
        <w:rPr>
          <w:sz w:val="20"/>
          <w:szCs w:val="20"/>
          <w:color w:val="auto"/>
        </w:rPr>
      </w:pPr>
      <w:r>
        <w:rPr>
          <w:rFonts w:ascii="Times New Roman" w:cs="Times New Roman" w:eastAsia="Times New Roman" w:hAnsi="Times New Roman"/>
          <w:sz w:val="14"/>
          <w:szCs w:val="14"/>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252" w:lineRule="exact"/>
        <w:rPr>
          <w:sz w:val="20"/>
          <w:szCs w:val="20"/>
          <w:color w:val="auto"/>
        </w:rPr>
      </w:pPr>
    </w:p>
    <w:p>
      <w:pPr>
        <w:ind w:left="1300" w:right="1319" w:firstLine="281"/>
        <w:spacing w:after="0" w:line="247" w:lineRule="auto"/>
        <w:rPr>
          <w:sz w:val="20"/>
          <w:szCs w:val="20"/>
          <w:color w:val="auto"/>
        </w:rPr>
      </w:pPr>
      <w:r>
        <w:rPr>
          <w:rFonts w:ascii="Times New Roman" w:cs="Times New Roman" w:eastAsia="Times New Roman" w:hAnsi="Times New Roman"/>
          <w:sz w:val="14"/>
          <w:szCs w:val="14"/>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85" w:lineRule="exact"/>
        <w:rPr>
          <w:sz w:val="20"/>
          <w:szCs w:val="20"/>
          <w:color w:val="auto"/>
        </w:rPr>
      </w:pPr>
    </w:p>
    <w:p>
      <w:pPr>
        <w:ind w:left="1300" w:right="145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Book-Entry Debt Securities. </w:t>
      </w:r>
      <w:r>
        <w:rPr>
          <w:rFonts w:ascii="Times New Roman" w:cs="Times New Roman" w:eastAsia="Times New Roman" w:hAnsi="Times New Roman"/>
          <w:sz w:val="14"/>
          <w:szCs w:val="14"/>
          <w:color w:val="auto"/>
        </w:rPr>
        <w:t>The debt securities of a series may be issued in the form of one 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Applicable Solely to Senior Debt Securities</w:t>
      </w:r>
    </w:p>
    <w:p>
      <w:pPr>
        <w:spacing w:after="0" w:line="123" w:lineRule="exact"/>
        <w:rPr>
          <w:sz w:val="20"/>
          <w:szCs w:val="20"/>
          <w:color w:val="auto"/>
        </w:rPr>
      </w:pPr>
    </w:p>
    <w:p>
      <w:pPr>
        <w:ind w:left="1300" w:right="143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Ranking. </w:t>
      </w:r>
      <w:r>
        <w:rPr>
          <w:rFonts w:ascii="Times New Roman" w:cs="Times New Roman" w:eastAsia="Times New Roman" w:hAnsi="Times New Roman"/>
          <w:sz w:val="14"/>
          <w:szCs w:val="14"/>
          <w:color w:val="auto"/>
        </w:rPr>
        <w:t>The ConocoPhillips senior debt securities will constitute senior debt of ConocoPhillips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rank equally with all of its unsecured and unsubordinated debt from time to time outstanding. The CPCo senior debt securities will constitute senior debt of CPCo and will rank equally with all of its unsecured and unsubordinated debt from time to time outstanding.</w:t>
      </w:r>
    </w:p>
    <w:p>
      <w:pPr>
        <w:spacing w:after="0" w:line="81" w:lineRule="exact"/>
        <w:rPr>
          <w:sz w:val="20"/>
          <w:szCs w:val="20"/>
          <w:color w:val="auto"/>
        </w:rPr>
      </w:pPr>
    </w:p>
    <w:p>
      <w:pPr>
        <w:ind w:left="1300" w:right="1379" w:firstLine="28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Guarantee. </w:t>
      </w:r>
      <w:r>
        <w:rPr>
          <w:rFonts w:ascii="Times New Roman" w:cs="Times New Roman" w:eastAsia="Times New Roman" w:hAnsi="Times New Roman"/>
          <w:sz w:val="14"/>
          <w:szCs w:val="14"/>
          <w:color w:val="auto"/>
        </w:rPr>
        <w:t>Pursuant to the ConocoPhillips senior indenture, CPCo will fully and unconditionally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guarantee on a senior unsecured basis the full and prompt payment of the principal of and any premium and interest on the senior debt securities issued by ConocoPhillips when and as the payment becomes due and payable, whether at maturity or otherwise. The guarantees provide that in the event of a default in the payment of principal of or any premium or interest on a ConocoPhillips senior debt security, the holder of that debt security may institute legal proceedings directly against CPCo to enforce the guarantees without first proceeding against ConocoPhillips. The guarantees will rank equally with all of CPCo’s other unsecured and unsubordinated debt from time to time outstanding.</w:t>
      </w:r>
    </w:p>
    <w:p>
      <w:pPr>
        <w:spacing w:after="0" w:line="92"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color w:val="auto"/>
        </w:rPr>
        <w:t>Pursuant to the CPCo senior indenture, ConocoPhillips will fully and unconditionally guarantee on a senior unsecured basis the full and prompt payment of the principal of and any premium and interest on the senior debt securities issued by CPCo when and as the payment becomes due and payable, whether at maturity or otherwise. The guarantees provide that in the event of a default in the payment of principal of or any premium or interest on a CPCo senior debt security, the holder of that debt security may institute legal proceedings directly against ConocoPhillips to enforce the guarantees without first proceeding against CPCo. The guarantees will rank equally with all of ConocoPhillips’ other unsecured and unsubordinated debt from time to time outstanding.</w:t>
      </w:r>
    </w:p>
    <w:p>
      <w:pPr>
        <w:spacing w:after="0" w:line="253" w:lineRule="exact"/>
        <w:rPr>
          <w:sz w:val="20"/>
          <w:szCs w:val="20"/>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Restrictive Covenants. </w:t>
      </w:r>
      <w:r>
        <w:rPr>
          <w:rFonts w:ascii="Times New Roman" w:cs="Times New Roman" w:eastAsia="Times New Roman" w:hAnsi="Times New Roman"/>
          <w:sz w:val="14"/>
          <w:szCs w:val="14"/>
          <w:color w:val="auto"/>
        </w:rPr>
        <w:t>ConocoPhillips has agreed to two principal restrictions on its activities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 of holders of the ConocoPhillips senior debt securities and CPCo senior debt securities. The restrictive covenants summarized below will apply to a series of senior debt securities of ConocoPhillips or CPCo (unless waived or amended) as long as any of those debt securities are outstanding, unless the prospectus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spacing w:after="0" w:line="283" w:lineRule="auto"/>
        <w:rPr>
          <w:sz w:val="20"/>
          <w:szCs w:val="20"/>
          <w:color w:val="auto"/>
        </w:rPr>
      </w:pPr>
      <w:r>
        <w:rPr>
          <w:rFonts w:ascii="Times New Roman" w:cs="Times New Roman" w:eastAsia="Times New Roman" w:hAnsi="Times New Roman"/>
          <w:sz w:val="14"/>
          <w:szCs w:val="14"/>
          <w:color w:val="auto"/>
        </w:rPr>
        <w:t>supplement for the series states otherwise. We have used in this summary description capitalized terms that we have defined below under “— Glossary.”</w:t>
      </w:r>
    </w:p>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Liens</w:t>
      </w:r>
    </w:p>
    <w:p>
      <w:pPr>
        <w:spacing w:after="0" w:line="125"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ConocoPhillips has agreed that it and its Principal Domestic Subsidiaries will issue, assume or guarantee Debt for borrowed money secured by a lien upon a Principal Property or shares of stock or Debt of any Principal Domestic Subsidiary only if the outstanding senior debt securities are secured equally and ratably with or prior to the Debt secured by that lien. If the senior debt securities are so secured, ConocoPhillips has the option to secure any of its and its Subsidiaries’ other Debt or obligations equally and ratably with or prior to the Debt secured by the lien and, accordingly, equally and ratably with the senior debt securities. This covenant has exceptions that permit:</w:t>
      </w:r>
    </w:p>
    <w:p>
      <w:pPr>
        <w:spacing w:after="0" w:line="81" w:lineRule="exact"/>
        <w:rPr>
          <w:sz w:val="20"/>
          <w:szCs w:val="20"/>
          <w:color w:val="auto"/>
        </w:rPr>
      </w:pPr>
    </w:p>
    <w:p>
      <w:pPr>
        <w:jc w:val="both"/>
        <w:ind w:left="1860" w:right="1379" w:hanging="274"/>
        <w:spacing w:after="0" w:line="261"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ConocoPhillips senior indenture, liens existing on the date ConocoPhillips first issued a series of senior debt securities under such indenture and, with respect to the CPCo senior indenture, liens existing on the date CPCo first issues a series of senior debt securities under such indenture;</w:t>
      </w:r>
    </w:p>
    <w:p>
      <w:pPr>
        <w:spacing w:after="0" w:line="88" w:lineRule="exact"/>
        <w:rPr>
          <w:rFonts w:ascii="Times New Roman" w:cs="Times New Roman" w:eastAsia="Times New Roman" w:hAnsi="Times New Roman"/>
          <w:sz w:val="14"/>
          <w:szCs w:val="14"/>
          <w:color w:val="auto"/>
        </w:rPr>
      </w:pPr>
    </w:p>
    <w:p>
      <w:pPr>
        <w:ind w:left="1860" w:right="1319" w:hanging="274"/>
        <w:spacing w:after="0" w:line="259"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property, assets, stock, equity or Debt of any entity existing at the time ConocoPhillips or a Subsidiary acquires that entity or its property or at the time the entity becomes a Subsidiary or a Principal Domestic Subsidiary or at the time such entity is merged into or consolidated with ConocoPhillips or a Subsidiary or at the time of a sale, lease or other disposition of the properties of an entity as an entirety or substantially as an entirety to ConocoPhillips or a Subsidiary;</w:t>
      </w:r>
    </w:p>
    <w:p>
      <w:pPr>
        <w:spacing w:after="0" w:line="88" w:lineRule="exact"/>
        <w:rPr>
          <w:rFonts w:ascii="Times New Roman" w:cs="Times New Roman" w:eastAsia="Times New Roman" w:hAnsi="Times New Roman"/>
          <w:sz w:val="14"/>
          <w:szCs w:val="14"/>
          <w:color w:val="auto"/>
        </w:rPr>
      </w:pPr>
    </w:p>
    <w:p>
      <w:pPr>
        <w:ind w:left="1860" w:hanging="274"/>
        <w:spacing w:after="0"/>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assets either:</w:t>
      </w:r>
    </w:p>
    <w:p>
      <w:pPr>
        <w:spacing w:after="0" w:line="8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at the time of acquisition of the assets,</w:t>
      </w:r>
    </w:p>
    <w:p>
      <w:pPr>
        <w:spacing w:after="0" w:line="91" w:lineRule="exact"/>
        <w:rPr>
          <w:rFonts w:ascii="Times New Roman" w:cs="Times New Roman" w:eastAsia="Times New Roman" w:hAnsi="Times New Roman"/>
          <w:sz w:val="14"/>
          <w:szCs w:val="14"/>
          <w:color w:val="auto"/>
        </w:rPr>
      </w:pPr>
    </w:p>
    <w:p>
      <w:pPr>
        <w:ind w:left="2000" w:right="1479" w:hanging="133"/>
        <w:spacing w:after="0" w:line="283" w:lineRule="auto"/>
        <w:tabs>
          <w:tab w:leader="none" w:pos="20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all or part of the cost of acquiring, constructing, improving, developing or expanding the assets, or</w:t>
      </w:r>
    </w:p>
    <w:p>
      <w:pPr>
        <w:spacing w:after="0" w:line="41" w:lineRule="exact"/>
        <w:rPr>
          <w:rFonts w:ascii="Times New Roman" w:cs="Times New Roman" w:eastAsia="Times New Roman" w:hAnsi="Times New Roman"/>
          <w:sz w:val="14"/>
          <w:szCs w:val="14"/>
          <w:color w:val="auto"/>
        </w:rPr>
      </w:pPr>
    </w:p>
    <w:p>
      <w:pPr>
        <w:ind w:left="2000" w:right="1419" w:hanging="133"/>
        <w:spacing w:after="0" w:line="260" w:lineRule="auto"/>
        <w:tabs>
          <w:tab w:leader="none" w:pos="20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Debt incurred to finance all or part of the purchase price of the assets or the cost of constructing, improving, developing or expanding the assets that was incurred before, at the time of or within two years after the later of the acquisition, the completion of construction, improvement, development or expansion or the commencement of commercial operation of the assets;</w:t>
      </w:r>
    </w:p>
    <w:p>
      <w:pPr>
        <w:spacing w:after="0" w:line="259" w:lineRule="exact"/>
        <w:rPr>
          <w:rFonts w:ascii="Times New Roman" w:cs="Times New Roman" w:eastAsia="Times New Roman" w:hAnsi="Times New Roman"/>
          <w:sz w:val="14"/>
          <w:szCs w:val="14"/>
          <w:color w:val="auto"/>
        </w:rPr>
      </w:pPr>
    </w:p>
    <w:p>
      <w:pPr>
        <w:ind w:left="1860" w:right="1799" w:hanging="274"/>
        <w:spacing w:after="0" w:line="283"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specific assets to secure Debt incurred to provide funds for the cost of exploration, drilling or development of those assets;</w:t>
      </w:r>
    </w:p>
    <w:p>
      <w:pPr>
        <w:spacing w:after="0" w:line="62" w:lineRule="exact"/>
        <w:rPr>
          <w:rFonts w:ascii="Times New Roman" w:cs="Times New Roman" w:eastAsia="Times New Roman" w:hAnsi="Times New Roman"/>
          <w:sz w:val="14"/>
          <w:szCs w:val="14"/>
          <w:color w:val="auto"/>
        </w:rPr>
      </w:pPr>
    </w:p>
    <w:p>
      <w:pPr>
        <w:ind w:left="1860" w:hanging="274"/>
        <w:spacing w:after="0"/>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liens;</w:t>
      </w:r>
    </w:p>
    <w:p>
      <w:pPr>
        <w:spacing w:after="0" w:line="123" w:lineRule="exact"/>
        <w:rPr>
          <w:rFonts w:ascii="Times New Roman" w:cs="Times New Roman" w:eastAsia="Times New Roman" w:hAnsi="Times New Roman"/>
          <w:sz w:val="14"/>
          <w:szCs w:val="14"/>
          <w:color w:val="auto"/>
        </w:rPr>
      </w:pPr>
    </w:p>
    <w:p>
      <w:pPr>
        <w:ind w:left="1860" w:right="1679" w:hanging="274"/>
        <w:spacing w:after="0" w:line="283"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industrial development, pollution control or other revenue bonds of a domestic government entity;</w:t>
      </w:r>
    </w:p>
    <w:p>
      <w:pPr>
        <w:spacing w:after="0" w:line="62" w:lineRule="exact"/>
        <w:rPr>
          <w:rFonts w:ascii="Times New Roman" w:cs="Times New Roman" w:eastAsia="Times New Roman" w:hAnsi="Times New Roman"/>
          <w:sz w:val="14"/>
          <w:szCs w:val="14"/>
          <w:color w:val="auto"/>
        </w:rPr>
      </w:pPr>
    </w:p>
    <w:p>
      <w:pPr>
        <w:ind w:left="1860" w:right="1319" w:hanging="274"/>
        <w:spacing w:after="0" w:line="283"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personal property, other than shares of stock or debt of any Principal Domestic Subsidiary, securing loans maturing in less than one year;</w:t>
      </w:r>
    </w:p>
    <w:p>
      <w:pPr>
        <w:spacing w:after="0" w:line="72" w:lineRule="exact"/>
        <w:rPr>
          <w:rFonts w:ascii="Times New Roman" w:cs="Times New Roman" w:eastAsia="Times New Roman" w:hAnsi="Times New Roman"/>
          <w:sz w:val="14"/>
          <w:szCs w:val="14"/>
          <w:color w:val="auto"/>
        </w:rPr>
      </w:pPr>
    </w:p>
    <w:p>
      <w:pPr>
        <w:ind w:left="1860" w:right="1519" w:hanging="274"/>
        <w:spacing w:after="0" w:line="283"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 Principal Property arising in connection with the sale of accounts receivable resulting from the sale of oil or gas at the wellhead;</w:t>
      </w:r>
    </w:p>
    <w:p>
      <w:pPr>
        <w:spacing w:after="0" w:line="62" w:lineRule="exact"/>
        <w:rPr>
          <w:rFonts w:ascii="Times New Roman" w:cs="Times New Roman" w:eastAsia="Times New Roman" w:hAnsi="Times New Roman"/>
          <w:sz w:val="14"/>
          <w:szCs w:val="14"/>
          <w:color w:val="auto"/>
        </w:rPr>
      </w:pPr>
    </w:p>
    <w:p>
      <w:pPr>
        <w:ind w:left="1860" w:right="1459" w:hanging="274"/>
        <w:spacing w:after="0" w:line="283"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or other liens arising in the ordinary course of business and relating to amounts that are not yet delinquent or are being contested in good faith; and</w:t>
      </w:r>
    </w:p>
    <w:p>
      <w:pPr>
        <w:spacing w:after="0" w:line="72" w:lineRule="exact"/>
        <w:rPr>
          <w:rFonts w:ascii="Times New Roman" w:cs="Times New Roman" w:eastAsia="Times New Roman" w:hAnsi="Times New Roman"/>
          <w:sz w:val="14"/>
          <w:szCs w:val="14"/>
          <w:color w:val="auto"/>
        </w:rPr>
      </w:pPr>
    </w:p>
    <w:p>
      <w:pPr>
        <w:ind w:left="1860" w:right="1479" w:hanging="274"/>
        <w:spacing w:after="0" w:line="283" w:lineRule="auto"/>
        <w:tabs>
          <w:tab w:leader="none" w:pos="1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extensions, substitutions, replacements or renewals of the above-described liens or any Debt secured by these liens if both:</w:t>
      </w:r>
    </w:p>
    <w:p>
      <w:pPr>
        <w:spacing w:after="0" w:line="4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lien is limited to the property (plus any improvements) secured by the original lien, and</w:t>
      </w:r>
    </w:p>
    <w:p>
      <w:pPr>
        <w:spacing w:after="0" w:line="91" w:lineRule="exact"/>
        <w:rPr>
          <w:rFonts w:ascii="Times New Roman" w:cs="Times New Roman" w:eastAsia="Times New Roman" w:hAnsi="Times New Roman"/>
          <w:sz w:val="14"/>
          <w:szCs w:val="14"/>
          <w:color w:val="auto"/>
        </w:rPr>
      </w:pPr>
    </w:p>
    <w:p>
      <w:pPr>
        <w:ind w:left="2000" w:right="1419" w:hanging="133"/>
        <w:spacing w:after="0" w:line="267" w:lineRule="auto"/>
        <w:tabs>
          <w:tab w:leader="none" w:pos="20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Debt secured by the new lien and not otherwise permitted does not materially exceed the amount of Debt refinanced plus any premium or fee payable in connection with any such extension, substitution, replacement or renewal.</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firstLine="281"/>
        <w:spacing w:after="0" w:line="245" w:lineRule="auto"/>
        <w:rPr>
          <w:sz w:val="20"/>
          <w:szCs w:val="20"/>
          <w:color w:val="auto"/>
        </w:rPr>
      </w:pPr>
      <w:r>
        <w:rPr>
          <w:rFonts w:ascii="Times New Roman" w:cs="Times New Roman" w:eastAsia="Times New Roman" w:hAnsi="Times New Roman"/>
          <w:sz w:val="14"/>
          <w:szCs w:val="14"/>
          <w:color w:val="auto"/>
        </w:rPr>
        <w:t>In addition, without securing the senior debt securities as described above, ConocoPhillips and its Principal Domestic Subsidiaries may issue, assume or guarantee Debt that this covenant would otherwise restrict in a total principal amount that, when added to all other outstanding Debt of ConocoPhillips and its Principal Domestic Subsidiaries that this covenant would otherwise restrict and the total amount of Attributable Debt outstanding for Sale/Leaseback Transactions, does not exceed a “basket” equal to 10% of Consolidated Adjusted Net Assets. When calculating this total principal amount, we exclude from the calculation Attributable Debt from Sale/Leaseback Transactions in connection with which ConocoPhillips or a Subsidiary has purchased property or retired or defeased Debt as described in clause (b) below under “Limitation on Sale/Leaseback Transactions.”</w:t>
      </w:r>
    </w:p>
    <w:p>
      <w:pPr>
        <w:spacing w:after="0" w:line="253" w:lineRule="exact"/>
        <w:rPr>
          <w:sz w:val="20"/>
          <w:szCs w:val="20"/>
          <w:color w:val="auto"/>
        </w:rPr>
      </w:pPr>
    </w:p>
    <w:p>
      <w:pPr>
        <w:ind w:left="1300" w:right="1399" w:firstLine="281"/>
        <w:spacing w:after="0" w:line="268" w:lineRule="auto"/>
        <w:rPr>
          <w:sz w:val="20"/>
          <w:szCs w:val="20"/>
          <w:color w:val="auto"/>
        </w:rPr>
      </w:pPr>
      <w:r>
        <w:rPr>
          <w:rFonts w:ascii="Times New Roman" w:cs="Times New Roman" w:eastAsia="Times New Roman" w:hAnsi="Times New Roman"/>
          <w:sz w:val="14"/>
          <w:szCs w:val="14"/>
          <w:color w:val="auto"/>
        </w:rPr>
        <w:t>The following types of transactions do not create “Debt” secured by “liens” within the meaning of this covenant:</w:t>
      </w:r>
    </w:p>
    <w:p>
      <w:pPr>
        <w:spacing w:after="0" w:line="72" w:lineRule="exact"/>
        <w:rPr>
          <w:sz w:val="20"/>
          <w:szCs w:val="20"/>
          <w:color w:val="auto"/>
        </w:rPr>
      </w:pPr>
    </w:p>
    <w:p>
      <w:pPr>
        <w:ind w:left="1860" w:hanging="274"/>
        <w:spacing w:after="0"/>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other transfer of either:</w:t>
      </w:r>
    </w:p>
    <w:p>
      <w:pPr>
        <w:spacing w:after="0" w:line="81" w:lineRule="exact"/>
        <w:rPr>
          <w:rFonts w:ascii="Times New Roman" w:cs="Times New Roman" w:eastAsia="Times New Roman" w:hAnsi="Times New Roman"/>
          <w:sz w:val="14"/>
          <w:szCs w:val="14"/>
          <w:color w:val="auto"/>
        </w:rPr>
      </w:pPr>
    </w:p>
    <w:p>
      <w:pPr>
        <w:ind w:left="2000" w:right="1319" w:hanging="133"/>
        <w:spacing w:after="0" w:line="267" w:lineRule="auto"/>
        <w:tabs>
          <w:tab w:leader="none" w:pos="20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oil, gas or other minerals in place for a period of time until, or in an amount such that, the purchaser will realize from those minerals a specified amount of money or a specified amount of those minerals, or</w:t>
      </w:r>
    </w:p>
    <w:p>
      <w:pPr>
        <w:spacing w:after="0" w:line="5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interest in property commonly referred to as a “production payment”; and</w:t>
      </w:r>
    </w:p>
    <w:p>
      <w:pPr>
        <w:spacing w:after="0" w:line="112" w:lineRule="exact"/>
        <w:rPr>
          <w:rFonts w:ascii="Times New Roman" w:cs="Times New Roman" w:eastAsia="Times New Roman" w:hAnsi="Times New Roman"/>
          <w:sz w:val="14"/>
          <w:szCs w:val="14"/>
          <w:color w:val="auto"/>
        </w:rPr>
      </w:pPr>
    </w:p>
    <w:p>
      <w:pPr>
        <w:ind w:left="1860" w:right="1499" w:hanging="274"/>
        <w:spacing w:after="0" w:line="267" w:lineRule="auto"/>
        <w:tabs>
          <w:tab w:leader="none" w:pos="1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or pledge of any property of ConocoPhillips or a Subsidiary in favor of the United States, any state of the United States or any department, agency or instrumentality or political subdivision of either, to secure payments under any contract or statute.</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Sale/Leaseback Transactions</w:t>
      </w:r>
    </w:p>
    <w:p>
      <w:pPr>
        <w:spacing w:after="0" w:line="125"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ConocoPhillips has agreed that it and any of its Principal Domestic Subsidiaries will enter into a Sale/​ Leaseback Transaction only if at least one of the following applies:</w:t>
      </w:r>
    </w:p>
    <w:p>
      <w:pPr>
        <w:spacing w:after="0" w:line="72" w:lineRule="exact"/>
        <w:rPr>
          <w:sz w:val="20"/>
          <w:szCs w:val="20"/>
          <w:color w:val="auto"/>
        </w:rPr>
      </w:pPr>
    </w:p>
    <w:p>
      <w:pPr>
        <w:ind w:left="1860" w:right="1319" w:hanging="274"/>
        <w:spacing w:after="0" w:line="261"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ConocoPhillips or that Principal Domestic Subsidiary could incur Debt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78" w:lineRule="exact"/>
        <w:rPr>
          <w:rFonts w:ascii="Times New Roman" w:cs="Times New Roman" w:eastAsia="Times New Roman" w:hAnsi="Times New Roman"/>
          <w:sz w:val="14"/>
          <w:szCs w:val="14"/>
          <w:color w:val="auto"/>
        </w:rPr>
      </w:pPr>
    </w:p>
    <w:p>
      <w:pPr>
        <w:ind w:left="1860" w:right="1339" w:hanging="274"/>
        <w:spacing w:after="0" w:line="267"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period beginning one year before the closing of the Sale/Leaseback Transaction and ending one year after the closing, ConocoPhillips or any Subsidiary applies the net proceeds of the Sale/Leaseback Transaction either:</w:t>
      </w:r>
    </w:p>
    <w:p>
      <w:pPr>
        <w:spacing w:after="0" w:line="51" w:lineRule="exact"/>
        <w:rPr>
          <w:rFonts w:ascii="Times New Roman" w:cs="Times New Roman" w:eastAsia="Times New Roman" w:hAnsi="Times New Roman"/>
          <w:sz w:val="14"/>
          <w:szCs w:val="14"/>
          <w:color w:val="auto"/>
        </w:rPr>
      </w:pPr>
    </w:p>
    <w:p>
      <w:pPr>
        <w:ind w:left="2000" w:right="1319" w:hanging="133"/>
        <w:spacing w:after="0" w:line="261" w:lineRule="auto"/>
        <w:tabs>
          <w:tab w:leader="none" w:pos="2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voluntary defeasance or retirement of any senior debt securities issued under the ConocoPhillips senior indenture (in the case of the ConocoPhillips senior indenture), senior debt securities issued under the CPCo senior indenture (in the case of the CPCo senior indenture) or any Funded Debt, or</w:t>
      </w:r>
    </w:p>
    <w:p>
      <w:pPr>
        <w:spacing w:after="0" w:line="57" w:lineRule="exact"/>
        <w:rPr>
          <w:rFonts w:ascii="Times New Roman" w:cs="Times New Roman" w:eastAsia="Times New Roman" w:hAnsi="Times New Roman"/>
          <w:sz w:val="14"/>
          <w:szCs w:val="14"/>
          <w:color w:val="auto"/>
        </w:rPr>
      </w:pPr>
    </w:p>
    <w:p>
      <w:pPr>
        <w:ind w:left="2000" w:right="1459" w:hanging="133"/>
        <w:spacing w:after="0" w:line="283" w:lineRule="auto"/>
        <w:tabs>
          <w:tab w:leader="none" w:pos="2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acquisition, exploration, drilling, development, construction, improvement or expansion of one or more Principal Properties.</w:t>
      </w:r>
    </w:p>
    <w:p>
      <w:pPr>
        <w:spacing w:after="0" w:line="62" w:lineRule="exact"/>
        <w:rPr>
          <w:sz w:val="20"/>
          <w:szCs w:val="20"/>
          <w:color w:val="auto"/>
        </w:rPr>
      </w:pPr>
    </w:p>
    <w:p>
      <w:pPr>
        <w:ind w:left="1300" w:right="1319" w:firstLine="281"/>
        <w:spacing w:after="0" w:line="251" w:lineRule="auto"/>
        <w:rPr>
          <w:sz w:val="20"/>
          <w:szCs w:val="20"/>
          <w:color w:val="auto"/>
        </w:rPr>
      </w:pPr>
      <w:r>
        <w:rPr>
          <w:rFonts w:ascii="Times New Roman" w:cs="Times New Roman" w:eastAsia="Times New Roman" w:hAnsi="Times New Roman"/>
          <w:sz w:val="14"/>
          <w:szCs w:val="14"/>
          <w:color w:val="auto"/>
        </w:rPr>
        <w:t>Any net proceeds that are not applied for the purposes described in (b) will be subject to the limitation described in (a). For purposes of these calculations, the net proceeds of the Sale/Leaseback Transaction means the net proceeds of the sale or transfer of the property leased in the Sale/Leaseback Transaction (or, if greater, the fair value of that property at the time of the Sale/Leaseback Transaction as determined by ConocoPhillips’ board of directors).</w:t>
      </w:r>
    </w:p>
    <w:p>
      <w:pPr>
        <w:spacing w:after="0" w:line="135" w:lineRule="exact"/>
        <w:rPr>
          <w:sz w:val="20"/>
          <w:szCs w:val="20"/>
          <w:color w:val="auto"/>
        </w:rPr>
      </w:pPr>
    </w:p>
    <w:p>
      <w:pPr>
        <w:ind w:left="1300" w:right="1459"/>
        <w:spacing w:after="0" w:line="271" w:lineRule="auto"/>
        <w:rPr>
          <w:sz w:val="20"/>
          <w:szCs w:val="20"/>
          <w:color w:val="auto"/>
        </w:rPr>
      </w:pPr>
      <w:r>
        <w:rPr>
          <w:rFonts w:ascii="Times New Roman" w:cs="Times New Roman" w:eastAsia="Times New Roman" w:hAnsi="Times New Roman"/>
          <w:sz w:val="14"/>
          <w:szCs w:val="14"/>
          <w:b w:val="1"/>
          <w:bCs w:val="1"/>
          <w:color w:val="auto"/>
        </w:rPr>
        <w:t>Provisions Applicable to Senior Debt Securities under the ConocoPhillips Senior Indenture and Subordinated Debt Securities</w:t>
      </w:r>
    </w:p>
    <w:p>
      <w:pPr>
        <w:spacing w:after="0" w:line="68" w:lineRule="exact"/>
        <w:rPr>
          <w:sz w:val="20"/>
          <w:szCs w:val="20"/>
          <w:color w:val="auto"/>
        </w:rPr>
      </w:pPr>
    </w:p>
    <w:p>
      <w:pPr>
        <w:ind w:left="1300" w:right="139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Events of Default. </w:t>
      </w:r>
      <w:r>
        <w:rPr>
          <w:rFonts w:ascii="Times New Roman" w:cs="Times New Roman" w:eastAsia="Times New Roman" w:hAnsi="Times New Roman"/>
          <w:sz w:val="14"/>
          <w:szCs w:val="14"/>
          <w:color w:val="auto"/>
        </w:rPr>
        <w:t>Unless otherwise described in the applicable prospectus supplement, the following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events of default with respect to a series of debt securities:</w:t>
      </w:r>
    </w:p>
    <w:p>
      <w:pPr>
        <w:spacing w:after="0" w:line="29" w:lineRule="exact"/>
        <w:rPr>
          <w:sz w:val="20"/>
          <w:szCs w:val="20"/>
          <w:color w:val="auto"/>
        </w:rPr>
      </w:pPr>
    </w:p>
    <w:p>
      <w:pPr>
        <w:ind w:left="1720" w:hanging="134"/>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that series of debt securities for 30 days when due;</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that series of debt securities when due;</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sinking fund payment for 30 days when due;</w:t>
      </w:r>
    </w:p>
    <w:p>
      <w:pPr>
        <w:spacing w:after="0" w:line="102" w:lineRule="exact"/>
        <w:rPr>
          <w:rFonts w:ascii="Times New Roman" w:cs="Times New Roman" w:eastAsia="Times New Roman" w:hAnsi="Times New Roman"/>
          <w:sz w:val="14"/>
          <w:szCs w:val="14"/>
          <w:color w:val="auto"/>
        </w:rPr>
      </w:pPr>
    </w:p>
    <w:p>
      <w:pPr>
        <w:ind w:left="1720" w:right="1379" w:hanging="134"/>
        <w:spacing w:after="0" w:line="259"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any covenant or agreement in that series of debt securities or the applicable indenture (other than an agreement or covenant that has been included in the indenture solely for the benefit of other series of debt securities) for 90 days after written notice by the trustee or by the holders of at least 25% in principal amount of the outstanding debt securities issued under that indenture that are affected by that failure;</w:t>
      </w:r>
    </w:p>
    <w:p>
      <w:pPr>
        <w:spacing w:after="0" w:line="78" w:lineRule="exact"/>
        <w:rPr>
          <w:rFonts w:ascii="Times New Roman" w:cs="Times New Roman" w:eastAsia="Times New Roman" w:hAnsi="Times New Roman"/>
          <w:sz w:val="14"/>
          <w:szCs w:val="14"/>
          <w:color w:val="auto"/>
        </w:rPr>
      </w:pPr>
    </w:p>
    <w:p>
      <w:pPr>
        <w:ind w:left="1720" w:right="1719" w:hanging="134"/>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involving bankruptcy, insolvency or reorganization of ConocoPhillips or, with respect to the senior debt securities, CPCo; and</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for that series of debt securities.</w:t>
      </w:r>
    </w:p>
    <w:p>
      <w:pPr>
        <w:spacing w:after="0" w:line="123" w:lineRule="exact"/>
        <w:rPr>
          <w:sz w:val="20"/>
          <w:szCs w:val="20"/>
          <w:color w:val="auto"/>
        </w:rPr>
      </w:pPr>
    </w:p>
    <w:p>
      <w:pPr>
        <w:ind w:left="1300" w:right="1379" w:firstLine="281"/>
        <w:spacing w:after="0" w:line="261" w:lineRule="auto"/>
        <w:rPr>
          <w:sz w:val="20"/>
          <w:szCs w:val="20"/>
          <w:color w:val="auto"/>
        </w:rPr>
      </w:pPr>
      <w:r>
        <w:rPr>
          <w:rFonts w:ascii="Times New Roman" w:cs="Times New Roman" w:eastAsia="Times New Roman" w:hAnsi="Times New Roman"/>
          <w:sz w:val="14"/>
          <w:szCs w:val="14"/>
          <w:color w:val="auto"/>
        </w:rPr>
        <w:t>A default under one series of debt securities will not necessarily be a default under another series. The trustee may withhold notice to the holders of the debt securities of any default or event of default (except in any payment on the debt securities) if the trustee considers it in the interest of the holders of the debt securities to do so.</w:t>
      </w:r>
    </w:p>
    <w:p>
      <w:pPr>
        <w:spacing w:after="0" w:line="78" w:lineRule="exact"/>
        <w:rPr>
          <w:sz w:val="20"/>
          <w:szCs w:val="20"/>
          <w:color w:val="auto"/>
        </w:rPr>
      </w:pPr>
    </w:p>
    <w:p>
      <w:pPr>
        <w:ind w:left="1300" w:right="1479" w:firstLine="281"/>
        <w:spacing w:after="0" w:line="254" w:lineRule="auto"/>
        <w:rPr>
          <w:sz w:val="20"/>
          <w:szCs w:val="20"/>
          <w:color w:val="auto"/>
        </w:rPr>
      </w:pPr>
      <w:r>
        <w:rPr>
          <w:rFonts w:ascii="Times New Roman" w:cs="Times New Roman" w:eastAsia="Times New Roman" w:hAnsi="Times New Roman"/>
          <w:sz w:val="14"/>
          <w:szCs w:val="14"/>
          <w:color w:val="auto"/>
        </w:rPr>
        <w:t>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applicable indenture that are affected, voting as one class) may declare the principal of and all accrued and unpaid interest on those debt securities to be due and payable. If an event of default relating to certain events of bankruptcy, insolvency or reorganization occurs, the principal of and interest on all the debt securities issued under the applicable indenture will become immediately due and payable without any action on the part of the trustee or any holder. The holders of a majority in principal amount of the outstanding debt securities of the series affected by the default (or, in some cases, of all debt securities issued under the applicable indenture that are affected, voting as one class) may in some cases rescind this accelerated payment requirement.</w:t>
      </w:r>
    </w:p>
    <w:p>
      <w:pPr>
        <w:spacing w:after="0" w:line="264" w:lineRule="exact"/>
        <w:rPr>
          <w:sz w:val="20"/>
          <w:szCs w:val="20"/>
          <w:color w:val="auto"/>
        </w:rPr>
      </w:pPr>
    </w:p>
    <w:p>
      <w:pPr>
        <w:ind w:left="1300" w:right="1459" w:firstLine="281"/>
        <w:spacing w:after="0" w:line="283" w:lineRule="auto"/>
        <w:rPr>
          <w:sz w:val="20"/>
          <w:szCs w:val="20"/>
          <w:color w:val="auto"/>
        </w:rPr>
      </w:pPr>
      <w:r>
        <w:rPr>
          <w:rFonts w:ascii="Times New Roman" w:cs="Times New Roman" w:eastAsia="Times New Roman" w:hAnsi="Times New Roman"/>
          <w:sz w:val="14"/>
          <w:szCs w:val="14"/>
          <w:color w:val="auto"/>
        </w:rPr>
        <w:t>A holder of a debt security of any series issued under an indenture may pursue any remedy under that indenture only if:</w:t>
      </w:r>
    </w:p>
    <w:p>
      <w:pPr>
        <w:spacing w:after="0" w:line="41" w:lineRule="exact"/>
        <w:rPr>
          <w:sz w:val="20"/>
          <w:szCs w:val="20"/>
          <w:color w:val="auto"/>
        </w:rPr>
      </w:pPr>
    </w:p>
    <w:p>
      <w:pPr>
        <w:ind w:left="1720" w:hanging="134"/>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with respect to that series;</w:t>
      </w:r>
    </w:p>
    <w:p>
      <w:pPr>
        <w:spacing w:after="0" w:line="102"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outstanding debt securities of that series make a written request to the trustee to pursue the remedy;</w:t>
      </w:r>
    </w:p>
    <w:p>
      <w:pPr>
        <w:spacing w:after="0" w:line="5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to the trustee indemnity satisfactory to the trustee against any loss, liability or expense;</w:t>
      </w:r>
    </w:p>
    <w:p>
      <w:pPr>
        <w:spacing w:after="0" w:line="62"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offer of indemnity; and</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debt securities of that series do not give the trustee a direction inconsistent with the request.</w:t>
      </w:r>
    </w:p>
    <w:p>
      <w:pPr>
        <w:spacing w:after="0" w:line="73" w:lineRule="exact"/>
        <w:rPr>
          <w:sz w:val="20"/>
          <w:szCs w:val="20"/>
          <w:color w:val="auto"/>
        </w:rPr>
      </w:pPr>
    </w:p>
    <w:p>
      <w:pPr>
        <w:ind w:left="1300" w:right="1439" w:firstLine="281"/>
        <w:spacing w:after="0" w:line="283" w:lineRule="auto"/>
        <w:rPr>
          <w:sz w:val="20"/>
          <w:szCs w:val="20"/>
          <w:color w:val="auto"/>
        </w:rPr>
      </w:pPr>
      <w:r>
        <w:rPr>
          <w:rFonts w:ascii="Times New Roman" w:cs="Times New Roman" w:eastAsia="Times New Roman" w:hAnsi="Times New Roman"/>
          <w:sz w:val="14"/>
          <w:szCs w:val="14"/>
          <w:color w:val="auto"/>
        </w:rPr>
        <w:t>This provision does not, however, affect the right of a holder of a debt security to sue for enforcement of any overdue payment.</w:t>
      </w:r>
    </w:p>
    <w:p>
      <w:pPr>
        <w:spacing w:after="0" w:line="62" w:lineRule="exact"/>
        <w:rPr>
          <w:sz w:val="20"/>
          <w:szCs w:val="20"/>
          <w:color w:val="auto"/>
        </w:rPr>
      </w:pPr>
    </w:p>
    <w:p>
      <w:pPr>
        <w:jc w:val="both"/>
        <w:ind w:left="1300" w:right="1519" w:firstLine="281"/>
        <w:spacing w:after="0" w:line="267" w:lineRule="auto"/>
        <w:rPr>
          <w:sz w:val="20"/>
          <w:szCs w:val="20"/>
          <w:color w:val="auto"/>
        </w:rPr>
      </w:pPr>
      <w:r>
        <w:rPr>
          <w:rFonts w:ascii="Times New Roman" w:cs="Times New Roman" w:eastAsia="Times New Roman" w:hAnsi="Times New Roman"/>
          <w:sz w:val="14"/>
          <w:szCs w:val="14"/>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62" w:lineRule="exact"/>
        <w:rPr>
          <w:sz w:val="20"/>
          <w:szCs w:val="20"/>
          <w:color w:val="auto"/>
        </w:rPr>
      </w:pPr>
    </w:p>
    <w:p>
      <w:pPr>
        <w:ind w:left="1720" w:hanging="134"/>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and</w:t>
      </w:r>
    </w:p>
    <w:p>
      <w:pPr>
        <w:spacing w:after="0" w:line="102"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on the trustee relating to or arising as a result of an event of default.</w:t>
      </w:r>
    </w:p>
    <w:p>
      <w:pPr>
        <w:spacing w:after="0" w:line="73" w:lineRule="exact"/>
        <w:rPr>
          <w:sz w:val="20"/>
          <w:szCs w:val="20"/>
          <w:color w:val="auto"/>
        </w:rPr>
      </w:pPr>
    </w:p>
    <w:p>
      <w:pPr>
        <w:jc w:val="both"/>
        <w:ind w:left="1300" w:right="1899" w:firstLine="281"/>
        <w:spacing w:after="0" w:line="267" w:lineRule="auto"/>
        <w:rPr>
          <w:sz w:val="20"/>
          <w:szCs w:val="20"/>
          <w:color w:val="auto"/>
        </w:rPr>
      </w:pPr>
      <w:r>
        <w:rPr>
          <w:rFonts w:ascii="Times New Roman" w:cs="Times New Roman" w:eastAsia="Times New Roman" w:hAnsi="Times New Roman"/>
          <w:sz w:val="14"/>
          <w:szCs w:val="14"/>
          <w:color w:val="auto"/>
        </w:rPr>
        <w:t>The ConocoPhillips senior indenture requires ConocoPhillips and CPCo, and the subordinated indenture requires ConocoPhillips, to file each year with the trustee a written statement as to their compliance with the covenants contained in the applicable indenture.</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Applicable Solely to Senior Debt Securities under the CPCo Senior Indenture</w:t>
      </w:r>
    </w:p>
    <w:p>
      <w:pPr>
        <w:spacing w:after="0" w:line="123" w:lineRule="exact"/>
        <w:rPr>
          <w:sz w:val="20"/>
          <w:szCs w:val="20"/>
          <w:color w:val="auto"/>
        </w:rPr>
      </w:pPr>
    </w:p>
    <w:p>
      <w:pPr>
        <w:ind w:left="1300" w:right="139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Events of Default. </w:t>
      </w:r>
      <w:r>
        <w:rPr>
          <w:rFonts w:ascii="Times New Roman" w:cs="Times New Roman" w:eastAsia="Times New Roman" w:hAnsi="Times New Roman"/>
          <w:sz w:val="14"/>
          <w:szCs w:val="14"/>
          <w:color w:val="auto"/>
        </w:rPr>
        <w:t>Unless otherwise described in the applicable prospectus supplement, the following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events of default with respect to a series of debt securities:</w:t>
      </w:r>
    </w:p>
    <w:p>
      <w:pPr>
        <w:spacing w:after="0" w:line="39" w:lineRule="exact"/>
        <w:rPr>
          <w:sz w:val="20"/>
          <w:szCs w:val="20"/>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that series of debt securities for 30 days when due;</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that series of debt securities when due;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sinking fund payment for 30 days when due;</w:t>
      </w:r>
    </w:p>
    <w:p>
      <w:pPr>
        <w:spacing w:after="0" w:line="91" w:lineRule="exact"/>
        <w:rPr>
          <w:rFonts w:ascii="Times New Roman" w:cs="Times New Roman" w:eastAsia="Times New Roman" w:hAnsi="Times New Roman"/>
          <w:sz w:val="14"/>
          <w:szCs w:val="14"/>
          <w:color w:val="auto"/>
        </w:rPr>
      </w:pPr>
    </w:p>
    <w:p>
      <w:pPr>
        <w:ind w:left="1720" w:right="1359" w:hanging="134"/>
        <w:spacing w:after="0" w:line="259"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any covenant or agreement in that series of debt securities or the CPCo senior indenture (other than an agreement or covenant that has been included in the indenture solely for the benefit of other series of debt securities) for 90 days after written notice by the trustee or by the holders of at least 25% in principal amount of the outstanding debt securities issued under that indenture that are affected by that failure;</w:t>
      </w:r>
    </w:p>
    <w:p>
      <w:pPr>
        <w:spacing w:after="0" w:line="5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involving bankruptcy, insolvency or reorganization of ConocoPhillips or CPCo;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for that series of debt securities.</w:t>
      </w:r>
    </w:p>
    <w:p>
      <w:pPr>
        <w:spacing w:after="0" w:line="123" w:lineRule="exact"/>
        <w:rPr>
          <w:sz w:val="20"/>
          <w:szCs w:val="20"/>
          <w:color w:val="auto"/>
        </w:rPr>
      </w:pPr>
    </w:p>
    <w:p>
      <w:pPr>
        <w:ind w:left="1300" w:right="1379" w:firstLine="281"/>
        <w:spacing w:after="0" w:line="261" w:lineRule="auto"/>
        <w:rPr>
          <w:sz w:val="20"/>
          <w:szCs w:val="20"/>
          <w:color w:val="auto"/>
        </w:rPr>
      </w:pPr>
      <w:r>
        <w:rPr>
          <w:rFonts w:ascii="Times New Roman" w:cs="Times New Roman" w:eastAsia="Times New Roman" w:hAnsi="Times New Roman"/>
          <w:sz w:val="14"/>
          <w:szCs w:val="14"/>
          <w:color w:val="auto"/>
        </w:rPr>
        <w:t>A default under one series of debt securities will not necessarily be a default under another series. The trustee may withhold notice to the holders of the debt securities of any default or event of default (except in any payment on the debt securities) if the trustee considers it in the interest of the holders of the debt securities to do so.</w:t>
      </w:r>
    </w:p>
    <w:p>
      <w:pPr>
        <w:spacing w:after="0" w:line="89"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CPCo senior indenture that are affected, voting as one class) may declare the principal of and all accrued and unpaid interest on those debt securities to be due and payable. If an event of default relating to certain events of bankruptcy, insolvency or reorganization occurs, the principal of and interest on all the debt securities issued under the CPCo senior indenture will become immediately due and payable without any action on the part of the trustee or any holder. The holders of a majority in principal amount of the outstanding debt securities of the series affected by the default (or, in some cases, of all debt securities issued under the CPCo senior indenture that are affected, voting as one class) may in some cases rescind this accelerated payment requirement.</w:t>
      </w:r>
    </w:p>
    <w:p>
      <w:pPr>
        <w:spacing w:after="0" w:line="253" w:lineRule="exact"/>
        <w:rPr>
          <w:sz w:val="20"/>
          <w:szCs w:val="20"/>
          <w:color w:val="auto"/>
        </w:rPr>
      </w:pPr>
    </w:p>
    <w:p>
      <w:pPr>
        <w:ind w:left="1300" w:right="1739" w:firstLine="281"/>
        <w:spacing w:after="0" w:line="283" w:lineRule="auto"/>
        <w:rPr>
          <w:sz w:val="20"/>
          <w:szCs w:val="20"/>
          <w:color w:val="auto"/>
        </w:rPr>
      </w:pPr>
      <w:r>
        <w:rPr>
          <w:rFonts w:ascii="Times New Roman" w:cs="Times New Roman" w:eastAsia="Times New Roman" w:hAnsi="Times New Roman"/>
          <w:sz w:val="14"/>
          <w:szCs w:val="14"/>
          <w:color w:val="auto"/>
        </w:rPr>
        <w:t>A holder of a debt security of any series issued under the CPCo senior indenture may pursue any remedy under that indenture only if:</w:t>
      </w:r>
    </w:p>
    <w:p>
      <w:pPr>
        <w:spacing w:after="0" w:line="41" w:lineRule="exact"/>
        <w:rPr>
          <w:sz w:val="20"/>
          <w:szCs w:val="20"/>
          <w:color w:val="auto"/>
        </w:rPr>
      </w:pPr>
    </w:p>
    <w:p>
      <w:pPr>
        <w:ind w:left="1720" w:hanging="134"/>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with respect to that series;</w:t>
      </w:r>
    </w:p>
    <w:p>
      <w:pPr>
        <w:spacing w:after="0" w:line="9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outstanding debt securities of that series make a written request to the trustee to pursue the remedy;</w:t>
      </w:r>
    </w:p>
    <w:p>
      <w:pPr>
        <w:spacing w:after="0" w:line="5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to the trustee indemnity satisfactory to the trustee against any loss, liability or expense;</w:t>
      </w:r>
    </w:p>
    <w:p>
      <w:pPr>
        <w:spacing w:after="0" w:line="4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offer of indemnity; and</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debt securities of that series do not give the trustee a direction inconsistent with the request.</w:t>
      </w:r>
    </w:p>
    <w:p>
      <w:pPr>
        <w:spacing w:after="0" w:line="73" w:lineRule="exact"/>
        <w:rPr>
          <w:sz w:val="20"/>
          <w:szCs w:val="20"/>
          <w:color w:val="auto"/>
        </w:rPr>
      </w:pPr>
    </w:p>
    <w:p>
      <w:pPr>
        <w:ind w:left="1300" w:right="1439" w:firstLine="281"/>
        <w:spacing w:after="0" w:line="283" w:lineRule="auto"/>
        <w:rPr>
          <w:sz w:val="20"/>
          <w:szCs w:val="20"/>
          <w:color w:val="auto"/>
        </w:rPr>
      </w:pPr>
      <w:r>
        <w:rPr>
          <w:rFonts w:ascii="Times New Roman" w:cs="Times New Roman" w:eastAsia="Times New Roman" w:hAnsi="Times New Roman"/>
          <w:sz w:val="14"/>
          <w:szCs w:val="14"/>
          <w:color w:val="auto"/>
        </w:rPr>
        <w:t>This provision does not, however, affect the right of a holder of a debt security to sue for enforcement of any overdue payment.</w:t>
      </w:r>
    </w:p>
    <w:p>
      <w:pPr>
        <w:spacing w:after="0" w:line="62" w:lineRule="exact"/>
        <w:rPr>
          <w:sz w:val="20"/>
          <w:szCs w:val="20"/>
          <w:color w:val="auto"/>
        </w:rPr>
      </w:pPr>
    </w:p>
    <w:p>
      <w:pPr>
        <w:jc w:val="both"/>
        <w:ind w:left="1300" w:right="1519" w:firstLine="281"/>
        <w:spacing w:after="0" w:line="267" w:lineRule="auto"/>
        <w:rPr>
          <w:sz w:val="20"/>
          <w:szCs w:val="20"/>
          <w:color w:val="auto"/>
        </w:rPr>
      </w:pPr>
      <w:r>
        <w:rPr>
          <w:rFonts w:ascii="Times New Roman" w:cs="Times New Roman" w:eastAsia="Times New Roman" w:hAnsi="Times New Roman"/>
          <w:sz w:val="14"/>
          <w:szCs w:val="14"/>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4420" w:right="3119" w:hanging="2834"/>
        <w:spacing w:after="0" w:line="497" w:lineRule="auto"/>
        <w:tabs>
          <w:tab w:leader="none" w:pos="173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393065</wp:posOffset>
            </wp:positionV>
            <wp:extent cx="533082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419" w:hanging="134"/>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on the trustee relating to or arising as a result of an event of default.</w:t>
      </w:r>
    </w:p>
    <w:p>
      <w:pPr>
        <w:spacing w:after="0" w:line="73" w:lineRule="exact"/>
        <w:rPr>
          <w:sz w:val="20"/>
          <w:szCs w:val="20"/>
          <w:color w:val="auto"/>
        </w:rPr>
      </w:pPr>
    </w:p>
    <w:p>
      <w:pPr>
        <w:ind w:left="1300" w:right="1719" w:firstLine="281"/>
        <w:spacing w:after="0" w:line="283" w:lineRule="auto"/>
        <w:rPr>
          <w:sz w:val="20"/>
          <w:szCs w:val="20"/>
          <w:color w:val="auto"/>
        </w:rPr>
      </w:pPr>
      <w:r>
        <w:rPr>
          <w:rFonts w:ascii="Times New Roman" w:cs="Times New Roman" w:eastAsia="Times New Roman" w:hAnsi="Times New Roman"/>
          <w:sz w:val="14"/>
          <w:szCs w:val="14"/>
          <w:color w:val="auto"/>
        </w:rPr>
        <w:t>The CPCo senior indenture requires ConocoPhillips and CPCo to file each year with the trustee a written statement as to their compliance with the covenants contained in the applicable indenture.</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Glossary</w:t>
      </w:r>
    </w:p>
    <w:p>
      <w:pPr>
        <w:spacing w:after="0" w:line="125" w:lineRule="exact"/>
        <w:rPr>
          <w:sz w:val="20"/>
          <w:szCs w:val="20"/>
          <w:color w:val="auto"/>
        </w:rPr>
      </w:pPr>
    </w:p>
    <w:p>
      <w:pPr>
        <w:ind w:left="1300" w:right="1319" w:firstLine="281"/>
        <w:spacing w:after="0" w:line="255" w:lineRule="auto"/>
        <w:rPr>
          <w:sz w:val="20"/>
          <w:szCs w:val="20"/>
          <w:color w:val="auto"/>
        </w:rPr>
      </w:pPr>
      <w:r>
        <w:rPr>
          <w:rFonts w:ascii="Times New Roman" w:cs="Times New Roman" w:eastAsia="Times New Roman" w:hAnsi="Times New Roman"/>
          <w:sz w:val="14"/>
          <w:szCs w:val="14"/>
          <w:color w:val="auto"/>
        </w:rPr>
        <w:t>“Attributable Debt” means the present value of the rental payments during the remaining term of the lease included in the 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255" w:lineRule="exact"/>
        <w:rPr>
          <w:sz w:val="20"/>
          <w:szCs w:val="20"/>
          <w:color w:val="auto"/>
        </w:rPr>
      </w:pPr>
    </w:p>
    <w:p>
      <w:pPr>
        <w:ind w:left="1300" w:right="1819" w:firstLine="281"/>
        <w:spacing w:after="0" w:line="283" w:lineRule="auto"/>
        <w:rPr>
          <w:sz w:val="20"/>
          <w:szCs w:val="20"/>
          <w:color w:val="auto"/>
        </w:rPr>
      </w:pPr>
      <w:r>
        <w:rPr>
          <w:rFonts w:ascii="Times New Roman" w:cs="Times New Roman" w:eastAsia="Times New Roman" w:hAnsi="Times New Roman"/>
          <w:sz w:val="14"/>
          <w:szCs w:val="14"/>
          <w:color w:val="auto"/>
        </w:rPr>
        <w:t>“Consolidated Adjusted Net Assets” means the total amount of assets of ConocoPhillips and its consolidated subsidiaries less:</w:t>
      </w:r>
    </w:p>
    <w:p>
      <w:pPr>
        <w:spacing w:after="0" w:line="52" w:lineRule="exact"/>
        <w:rPr>
          <w:sz w:val="20"/>
          <w:szCs w:val="20"/>
          <w:color w:val="auto"/>
        </w:rPr>
      </w:pPr>
    </w:p>
    <w:p>
      <w:pPr>
        <w:ind w:left="1720" w:right="1339" w:hanging="134"/>
        <w:spacing w:after="0" w:line="267"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liabilities (excluding liabilities that are extendable or renewable at ConocoPhillips’ option to a date more than 12 months after the date of calculation and excluding current maturities of long-term debt); and</w:t>
      </w:r>
    </w:p>
    <w:p>
      <w:pPr>
        <w:spacing w:after="0" w:line="6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prepaid expenses and deferred charges.</w:t>
      </w:r>
    </w:p>
    <w:p>
      <w:pPr>
        <w:spacing w:after="0" w:line="123" w:lineRule="exact"/>
        <w:rPr>
          <w:sz w:val="20"/>
          <w:szCs w:val="20"/>
          <w:color w:val="auto"/>
        </w:rPr>
      </w:pPr>
    </w:p>
    <w:p>
      <w:pPr>
        <w:ind w:left="1300" w:right="1459" w:firstLine="281"/>
        <w:spacing w:after="0" w:line="283" w:lineRule="auto"/>
        <w:rPr>
          <w:sz w:val="20"/>
          <w:szCs w:val="20"/>
          <w:color w:val="auto"/>
        </w:rPr>
      </w:pPr>
      <w:r>
        <w:rPr>
          <w:rFonts w:ascii="Times New Roman" w:cs="Times New Roman" w:eastAsia="Times New Roman" w:hAnsi="Times New Roman"/>
          <w:sz w:val="14"/>
          <w:szCs w:val="14"/>
          <w:color w:val="auto"/>
        </w:rPr>
        <w:t>ConocoPhillips will calculate its Consolidated Adjusted Net Assets based on its most recent quarterly balance sheet.</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“Debt” means all notes, bonds, debentures or other similar evidences of debt for money borrowed.</w:t>
      </w:r>
    </w:p>
    <w:p>
      <w:pPr>
        <w:spacing w:after="0" w:line="113" w:lineRule="exact"/>
        <w:rPr>
          <w:sz w:val="20"/>
          <w:szCs w:val="20"/>
          <w:color w:val="auto"/>
        </w:rPr>
      </w:pPr>
    </w:p>
    <w:p>
      <w:pPr>
        <w:ind w:left="1300" w:right="1519" w:firstLine="281"/>
        <w:spacing w:after="0" w:line="283" w:lineRule="auto"/>
        <w:rPr>
          <w:sz w:val="20"/>
          <w:szCs w:val="20"/>
          <w:color w:val="auto"/>
        </w:rPr>
      </w:pPr>
      <w:r>
        <w:rPr>
          <w:rFonts w:ascii="Times New Roman" w:cs="Times New Roman" w:eastAsia="Times New Roman" w:hAnsi="Times New Roman"/>
          <w:sz w:val="14"/>
          <w:szCs w:val="14"/>
          <w:color w:val="auto"/>
        </w:rPr>
        <w:t>“Funded Debt” means all Debt that matures on or is renewable to a date more than one year after the date the Debt is incurred.</w:t>
      </w:r>
    </w:p>
    <w:p>
      <w:pPr>
        <w:spacing w:after="0" w:line="73" w:lineRule="exact"/>
        <w:rPr>
          <w:sz w:val="20"/>
          <w:szCs w:val="20"/>
          <w:color w:val="auto"/>
        </w:rPr>
      </w:pPr>
    </w:p>
    <w:p>
      <w:pPr>
        <w:ind w:left="1300" w:right="1419" w:firstLine="281"/>
        <w:spacing w:after="0" w:line="260" w:lineRule="auto"/>
        <w:rPr>
          <w:sz w:val="20"/>
          <w:szCs w:val="20"/>
          <w:color w:val="auto"/>
        </w:rPr>
      </w:pPr>
      <w:r>
        <w:rPr>
          <w:rFonts w:ascii="Times New Roman" w:cs="Times New Roman" w:eastAsia="Times New Roman" w:hAnsi="Times New Roman"/>
          <w:sz w:val="14"/>
          <w:szCs w:val="14"/>
          <w:color w:val="auto"/>
        </w:rPr>
        <w:t>“Principal Domestic Subsidiary” means any Subsidiary (1) that has substantially all its assets in the United States, (2) that owns a Principal Property and (3) in which ConocoPhillips’ capital investment, together with any intercompany loans to that Subsidiary and any debt of that Subsidiary guaranteed by ConocoPhillips or any other Subsidiary, exceeds $100 million. CPCo is a Principal Domestic Subsidiary of ConocoPhillips.</w:t>
      </w:r>
    </w:p>
    <w:p>
      <w:pPr>
        <w:spacing w:after="0" w:line="260"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“Principal Property” means any oil or gas producing property located onshore or offshore of the United States or any refinery or manufacturing plant located in the United States. This term excludes any property, refinery or plant that in the opinion of ConocoPhillips’ board of directors is not materially important to the total business conducted by ConocoPhillips and its consolidated subsidiaries. This term also excludes any transportation or marketing facilities or assets.</w:t>
      </w:r>
    </w:p>
    <w:p>
      <w:pPr>
        <w:spacing w:after="0" w:line="78" w:lineRule="exact"/>
        <w:rPr>
          <w:sz w:val="20"/>
          <w:szCs w:val="20"/>
          <w:color w:val="auto"/>
        </w:rPr>
      </w:pPr>
    </w:p>
    <w:p>
      <w:pPr>
        <w:jc w:val="both"/>
        <w:ind w:left="1300" w:right="1519" w:firstLine="281"/>
        <w:spacing w:after="0" w:line="267" w:lineRule="auto"/>
        <w:rPr>
          <w:sz w:val="20"/>
          <w:szCs w:val="20"/>
          <w:color w:val="auto"/>
        </w:rPr>
      </w:pPr>
      <w:r>
        <w:rPr>
          <w:rFonts w:ascii="Times New Roman" w:cs="Times New Roman" w:eastAsia="Times New Roman" w:hAnsi="Times New Roman"/>
          <w:sz w:val="14"/>
          <w:szCs w:val="14"/>
          <w:color w:val="auto"/>
        </w:rPr>
        <w:t>“Sale/Leaseback Transaction” means any arrangement with anyone under which ConocoPhillips or a Subsidiary leases any Principal Property that ConocoPhillips or that Subsidiary has sold or transferred or will sell or transfer to that person. This term excludes the following:</w:t>
      </w:r>
    </w:p>
    <w:p>
      <w:pPr>
        <w:spacing w:after="0" w:line="62" w:lineRule="exact"/>
        <w:rPr>
          <w:sz w:val="20"/>
          <w:szCs w:val="20"/>
          <w:color w:val="auto"/>
        </w:rPr>
      </w:pPr>
    </w:p>
    <w:p>
      <w:pPr>
        <w:ind w:left="1720" w:hanging="134"/>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leases for a term of not more than three years;</w:t>
      </w:r>
    </w:p>
    <w:p>
      <w:pPr>
        <w:spacing w:after="0" w:line="11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leases;</w:t>
      </w:r>
    </w:p>
    <w:p>
      <w:pPr>
        <w:spacing w:after="0" w:line="102" w:lineRule="exact"/>
        <w:rPr>
          <w:rFonts w:ascii="Times New Roman" w:cs="Times New Roman" w:eastAsia="Times New Roman" w:hAnsi="Times New Roman"/>
          <w:sz w:val="14"/>
          <w:szCs w:val="14"/>
          <w:color w:val="auto"/>
        </w:rPr>
      </w:pPr>
    </w:p>
    <w:p>
      <w:pPr>
        <w:ind w:left="1720" w:right="1539" w:hanging="134"/>
        <w:spacing w:after="0" w:line="267"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of a Principal Property executed by the time of or within 12 months after the latest of the acquisition, the completion of construction or improvement, or the commencement of commercial operation of the Principal Property; and</w:t>
      </w:r>
    </w:p>
    <w:p>
      <w:pPr>
        <w:spacing w:after="0" w:line="62"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arrangements under any provision of law with an effect similar to the former Section 168(f)(8) of the Internal Revenue Code of 1954.</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firstLine="281"/>
        <w:spacing w:after="0" w:line="267" w:lineRule="auto"/>
        <w:rPr>
          <w:sz w:val="20"/>
          <w:szCs w:val="20"/>
          <w:color w:val="auto"/>
        </w:rPr>
      </w:pPr>
      <w:r>
        <w:rPr>
          <w:rFonts w:ascii="Times New Roman" w:cs="Times New Roman" w:eastAsia="Times New Roman" w:hAnsi="Times New Roman"/>
          <w:sz w:val="14"/>
          <w:szCs w:val="14"/>
          <w:color w:val="auto"/>
        </w:rPr>
        <w:t>“Subsidiary” means an entity at least a majority of the outstanding voting stock of which is owned, directly or indirectly, by ConocoPhillips or by one or more other Subsidiaries, or by ConocoPhillips and one or more other Subsidiaries.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Applicable Solely to Subordinated Debt Securities</w:t>
      </w:r>
    </w:p>
    <w:p>
      <w:pPr>
        <w:spacing w:after="0" w:line="123" w:lineRule="exact"/>
        <w:rPr>
          <w:sz w:val="20"/>
          <w:szCs w:val="20"/>
          <w:color w:val="auto"/>
        </w:rPr>
      </w:pPr>
    </w:p>
    <w:p>
      <w:pPr>
        <w:ind w:left="1300" w:right="1399" w:firstLine="281"/>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Ranking. </w:t>
      </w:r>
      <w:r>
        <w:rPr>
          <w:rFonts w:ascii="Times New Roman" w:cs="Times New Roman" w:eastAsia="Times New Roman" w:hAnsi="Times New Roman"/>
          <w:sz w:val="14"/>
          <w:szCs w:val="14"/>
          <w:color w:val="auto"/>
        </w:rPr>
        <w:t>The subordinated debt securities will rank junior to all Senior Debt of ConocoPhillips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rank equally with or senior to other subordinated debt of ConocoPhillips that may be outstanding from time to time.</w:t>
      </w:r>
    </w:p>
    <w:p>
      <w:pPr>
        <w:spacing w:after="0" w:line="81" w:lineRule="exact"/>
        <w:rPr>
          <w:sz w:val="20"/>
          <w:szCs w:val="20"/>
          <w:color w:val="auto"/>
        </w:rPr>
      </w:pPr>
    </w:p>
    <w:p>
      <w:pPr>
        <w:ind w:left="1300" w:right="1419" w:firstLine="281"/>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Subordination. </w:t>
      </w:r>
      <w:r>
        <w:rPr>
          <w:rFonts w:ascii="Times New Roman" w:cs="Times New Roman" w:eastAsia="Times New Roman" w:hAnsi="Times New Roman"/>
          <w:sz w:val="14"/>
          <w:szCs w:val="14"/>
          <w:color w:val="auto"/>
        </w:rPr>
        <w:t>Under the subordinated indenture, payment of the principal of and any premium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on the subordinated debt securities will generally be subordinated and junior in right of payment to the prior payment in full of all Senior Debt. Unless we inform you otherwise in the prospectus supplement, ConocoPhillips may not make any payment of principal of or any premium or interest on the subordinated debt securities if it fails to pay the principal, interest, premium or any other amounts on any Senior Debt when due.</w:t>
      </w:r>
    </w:p>
    <w:p>
      <w:pPr>
        <w:spacing w:after="0" w:line="252" w:lineRule="exact"/>
        <w:rPr>
          <w:sz w:val="20"/>
          <w:szCs w:val="20"/>
          <w:color w:val="auto"/>
        </w:rPr>
      </w:pPr>
    </w:p>
    <w:p>
      <w:pPr>
        <w:ind w:left="1300" w:right="1359" w:firstLine="281"/>
        <w:spacing w:after="0" w:line="267" w:lineRule="auto"/>
        <w:rPr>
          <w:sz w:val="20"/>
          <w:szCs w:val="20"/>
          <w:color w:val="auto"/>
        </w:rPr>
      </w:pPr>
      <w:r>
        <w:rPr>
          <w:rFonts w:ascii="Times New Roman" w:cs="Times New Roman" w:eastAsia="Times New Roman" w:hAnsi="Times New Roman"/>
          <w:sz w:val="14"/>
          <w:szCs w:val="14"/>
          <w:color w:val="auto"/>
        </w:rPr>
        <w:t>The subordination does not affect ConocoPhillips’ obligation, which is absolute and unconditional, to pay, when due, the principal of and any premium and interest on the subordinated debt securities. In addition, the subordination does not prevent the occurrence of any default under the subordinated indenture.</w:t>
      </w:r>
    </w:p>
    <w:p>
      <w:pPr>
        <w:spacing w:after="0" w:line="84" w:lineRule="exact"/>
        <w:rPr>
          <w:sz w:val="20"/>
          <w:szCs w:val="20"/>
          <w:color w:val="auto"/>
        </w:rPr>
      </w:pPr>
    </w:p>
    <w:p>
      <w:pPr>
        <w:jc w:val="both"/>
        <w:ind w:left="1300" w:right="1519" w:firstLine="281"/>
        <w:spacing w:after="0" w:line="267" w:lineRule="auto"/>
        <w:rPr>
          <w:sz w:val="20"/>
          <w:szCs w:val="20"/>
          <w:color w:val="auto"/>
        </w:rPr>
      </w:pPr>
      <w:r>
        <w:rPr>
          <w:rFonts w:ascii="Times New Roman" w:cs="Times New Roman" w:eastAsia="Times New Roman" w:hAnsi="Times New Roman"/>
          <w:sz w:val="14"/>
          <w:szCs w:val="14"/>
          <w:color w:val="auto"/>
        </w:rPr>
        <w:t>The subordinated indenture does not limit the amount of Senior Debt that ConocoPhillips may incur. As a result of the subordination of the subordinated debt securities, if ConocoPhillips becomes insolvent, holders of subordinated debt securities may receive less on a proportionate basis than other creditors.</w:t>
      </w:r>
    </w:p>
    <w:p>
      <w:pPr>
        <w:spacing w:after="0" w:line="84" w:lineRule="exact"/>
        <w:rPr>
          <w:sz w:val="20"/>
          <w:szCs w:val="20"/>
          <w:color w:val="auto"/>
        </w:rPr>
      </w:pPr>
    </w:p>
    <w:p>
      <w:pPr>
        <w:ind w:left="1300" w:right="1439" w:firstLine="281"/>
        <w:spacing w:after="0" w:line="261"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“Senior Debt” will mean all debt, including guarantees, of ConocoPhillips, unless the debt states that it is not senior to the subordinated debt securities or other junior debt of ConocoPhillips. Senior Debt with respect to a series of subordinated debt securities could include other series of debt securities issued under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5" w:lineRule="exact"/>
        <w:rPr>
          <w:sz w:val="20"/>
          <w:szCs w:val="20"/>
          <w:color w:val="auto"/>
        </w:rPr>
      </w:pPr>
    </w:p>
    <w:p>
      <w:pPr>
        <w:ind w:left="1300" w:right="1519" w:firstLine="281"/>
        <w:spacing w:after="0" w:line="251" w:lineRule="auto"/>
        <w:rPr>
          <w:sz w:val="20"/>
          <w:szCs w:val="20"/>
          <w:color w:val="auto"/>
        </w:rPr>
      </w:pPr>
      <w:r>
        <w:rPr>
          <w:rFonts w:ascii="Times New Roman" w:cs="Times New Roman" w:eastAsia="Times New Roman" w:hAnsi="Times New Roman"/>
          <w:sz w:val="14"/>
          <w:szCs w:val="14"/>
          <w:color w:val="auto"/>
        </w:rPr>
        <w:t>The following description of ConocoPhillips’ common stock, preferred stock, certificate of incorporation and bylaws is a summary only and is subject to the complete text of ConocoPhillips’ certificate of incorporation and bylaws, which we have filed as exhibits to the registration statement. You should read those documents for provisions that may be important to you.</w:t>
      </w:r>
    </w:p>
    <w:p>
      <w:pPr>
        <w:spacing w:after="0" w:line="84" w:lineRule="exact"/>
        <w:rPr>
          <w:sz w:val="20"/>
          <w:szCs w:val="20"/>
          <w:color w:val="auto"/>
        </w:rPr>
      </w:pPr>
    </w:p>
    <w:p>
      <w:pPr>
        <w:ind w:left="1300" w:right="1559" w:firstLine="281"/>
        <w:spacing w:after="0" w:line="268" w:lineRule="auto"/>
        <w:rPr>
          <w:sz w:val="20"/>
          <w:szCs w:val="20"/>
          <w:color w:val="auto"/>
        </w:rPr>
      </w:pPr>
      <w:r>
        <w:rPr>
          <w:rFonts w:ascii="Times New Roman" w:cs="Times New Roman" w:eastAsia="Times New Roman" w:hAnsi="Times New Roman"/>
          <w:sz w:val="14"/>
          <w:szCs w:val="14"/>
          <w:color w:val="auto"/>
        </w:rPr>
        <w:t>ConocoPhillips is authorized to issue 2.5 billion shares of common stock, par value $0.01 per share, and 500 million shares of preferred stock, par value $0.01 per share.</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15"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color w:val="auto"/>
        </w:rPr>
        <w:t>Each holder of ConocoPhillips common stock is entitled to one vote per share in the election of directors and on all other matters submitted to the vote of stockholders. However, except as otherwise required by law, holders of ConocoPhillips common stock are not entitled to vote on any amendment to ConocoPhillips’ certificate of incorporation that relates solely to the terms of any series of ConocoPhillips preferred stock if holders of the ConocoPhillips preferred stock are entitled to vote on the amendment under ConocoPhillips’ certificate of incorporation or Delaware law. There are no cumulative voting rights, meaning that the holders of a majority of the shares of ConocoPhillips common stock voting for the election of directors can elect all of the directors standing for election.</w:t>
      </w:r>
    </w:p>
    <w:p>
      <w:pPr>
        <w:spacing w:after="0" w:line="90" w:lineRule="exact"/>
        <w:rPr>
          <w:sz w:val="20"/>
          <w:szCs w:val="20"/>
          <w:color w:val="auto"/>
        </w:rPr>
      </w:pPr>
    </w:p>
    <w:p>
      <w:pPr>
        <w:ind w:left="1300" w:right="1339" w:firstLine="281"/>
        <w:spacing w:after="0" w:line="245" w:lineRule="auto"/>
        <w:rPr>
          <w:sz w:val="20"/>
          <w:szCs w:val="20"/>
          <w:color w:val="auto"/>
        </w:rPr>
      </w:pPr>
      <w:r>
        <w:rPr>
          <w:rFonts w:ascii="Times New Roman" w:cs="Times New Roman" w:eastAsia="Times New Roman" w:hAnsi="Times New Roman"/>
          <w:sz w:val="14"/>
          <w:szCs w:val="14"/>
          <w:color w:val="auto"/>
        </w:rPr>
        <w:t>Subject to the rights of the holders of any series of ConocoPhillips preferred stock that may be outstanding from time to time, each share of ConocoPhillips common stock will have an equal and ratable right to receive dividends as may be declared by the ConocoPhillips board of directors out of funds legally available for the payment of dividends, and, in the event of the liquidation, dissolution or winding up of ConocoPhillips, will be entitled to share equally and ratably in the assets available for distribution to ConocoPhillips stockholders. No holder of ConocoPhillips common stock will have any preemptive or other subscription rights to purchase or subscribe for any securities of ConocoPhillips.</w:t>
      </w:r>
    </w:p>
    <w:p>
      <w:pPr>
        <w:spacing w:after="0" w:line="81" w:lineRule="exact"/>
        <w:rPr>
          <w:sz w:val="20"/>
          <w:szCs w:val="20"/>
          <w:color w:val="auto"/>
        </w:rPr>
      </w:pPr>
    </w:p>
    <w:p>
      <w:pPr>
        <w:ind w:left="1300" w:right="1559" w:firstLine="281"/>
        <w:spacing w:after="0" w:line="251" w:lineRule="auto"/>
        <w:rPr>
          <w:sz w:val="20"/>
          <w:szCs w:val="20"/>
          <w:color w:val="auto"/>
        </w:rPr>
      </w:pPr>
      <w:r>
        <w:rPr>
          <w:rFonts w:ascii="Times New Roman" w:cs="Times New Roman" w:eastAsia="Times New Roman" w:hAnsi="Times New Roman"/>
          <w:sz w:val="14"/>
          <w:szCs w:val="14"/>
          <w:color w:val="auto"/>
        </w:rPr>
        <w:t>In addition, holders of ConocoPhillips common stock have no conversion rights, and there are no redemption or sinking fund provisions applicable to the ConocoPhillips common stock. ConocoPhillips common stock is traded on the New York Stock Exchange under the trading symbol “COP.” The transfer agent for the common stock is Computershare Shareowner Services LLC.</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ConocoPhillips’ board of directors has the authority, without stockholder approval, to issue up to</w:t>
      </w:r>
    </w:p>
    <w:p>
      <w:pPr>
        <w:spacing w:after="0" w:line="22" w:lineRule="exact"/>
        <w:rPr>
          <w:sz w:val="20"/>
          <w:szCs w:val="20"/>
          <w:color w:val="auto"/>
        </w:rPr>
      </w:pPr>
    </w:p>
    <w:p>
      <w:pPr>
        <w:ind w:left="1300" w:right="1319"/>
        <w:spacing w:after="0" w:line="246" w:lineRule="auto"/>
        <w:rPr>
          <w:sz w:val="20"/>
          <w:szCs w:val="20"/>
          <w:color w:val="auto"/>
        </w:rPr>
      </w:pPr>
      <w:r>
        <w:rPr>
          <w:rFonts w:ascii="Times New Roman" w:cs="Times New Roman" w:eastAsia="Times New Roman" w:hAnsi="Times New Roman"/>
          <w:sz w:val="14"/>
          <w:szCs w:val="14"/>
          <w:color w:val="auto"/>
        </w:rPr>
        <w:t>500 million shares of preferred stock in one or more series and to fix the number of shares and terms of each series. The board may determine the designation and other terms of each series, including, among others:</w:t>
      </w:r>
    </w:p>
    <w:p>
      <w:pPr>
        <w:spacing w:after="0" w:line="55" w:lineRule="exact"/>
        <w:rPr>
          <w:sz w:val="20"/>
          <w:szCs w:val="20"/>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powers;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rights;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preferences.</w:t>
      </w:r>
    </w:p>
    <w:p>
      <w:pPr>
        <w:spacing w:after="0" w:line="113"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The prospectus supplement relating to any series of preferred stock ConocoPhillips is offering will include specific terms relating to the offering and the name of any transfer agent for that series. We will file the form of the preferred stock with the SEC before we issue any of it, and you should read it for provisions that may be important to you. The prospectus supplement will include some or all of the following terms:</w:t>
      </w:r>
    </w:p>
    <w:p>
      <w:pPr>
        <w:spacing w:after="0" w:line="53" w:lineRule="exact"/>
        <w:rPr>
          <w:sz w:val="20"/>
          <w:szCs w:val="20"/>
          <w:color w:val="auto"/>
        </w:rPr>
      </w:pPr>
    </w:p>
    <w:p>
      <w:pPr>
        <w:ind w:left="1720" w:hanging="134"/>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preferred stock;</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the series;</w:t>
      </w:r>
    </w:p>
    <w:p>
      <w:pPr>
        <w:spacing w:after="0" w:line="9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the method of calculating the dividend, the date from which dividends will accrue and whether dividends will be cumulative;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liquidation preference;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w:t>
      </w:r>
    </w:p>
    <w:p>
      <w:pPr>
        <w:spacing w:after="0" w:line="102"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redeem or purchase the preferred stock;</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for the conversion or exchange of the preferred stock for other securities of us or any other entity;</w:t>
      </w:r>
    </w:p>
    <w:p>
      <w:pPr>
        <w:spacing w:after="0" w:line="41" w:lineRule="exact"/>
        <w:rPr>
          <w:rFonts w:ascii="Times New Roman" w:cs="Times New Roman" w:eastAsia="Times New Roman" w:hAnsi="Times New Roman"/>
          <w:sz w:val="14"/>
          <w:szCs w:val="14"/>
          <w:color w:val="auto"/>
        </w:rPr>
      </w:pPr>
    </w:p>
    <w:p>
      <w:pPr>
        <w:ind w:left="1720" w:right="1439" w:hanging="134"/>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ConocoPhillips has elected to issue depositary shares with respect to the preferred stock as described below under “Description of Depositary Shares;”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and</w:t>
      </w:r>
    </w:p>
    <w:p>
      <w:pPr>
        <w:spacing w:after="0" w:line="91" w:lineRule="exact"/>
        <w:rPr>
          <w:rFonts w:ascii="Times New Roman" w:cs="Times New Roman" w:eastAsia="Times New Roman" w:hAnsi="Times New Roman"/>
          <w:sz w:val="14"/>
          <w:szCs w:val="14"/>
          <w:color w:val="auto"/>
        </w:rPr>
      </w:pPr>
    </w:p>
    <w:p>
      <w:pPr>
        <w:ind w:left="1720" w:right="2199" w:hanging="134"/>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preferences and relative, participating, optional or other special rights or any qualifications, limitations or restrictions on the rights of the shares.</w:t>
      </w:r>
    </w:p>
    <w:p>
      <w:pPr>
        <w:spacing w:after="0" w:line="73" w:lineRule="exact"/>
        <w:rPr>
          <w:sz w:val="20"/>
          <w:szCs w:val="20"/>
          <w:color w:val="auto"/>
        </w:rPr>
      </w:pPr>
    </w:p>
    <w:p>
      <w:pPr>
        <w:ind w:left="1300" w:right="1579" w:firstLine="281"/>
        <w:spacing w:after="0" w:line="261" w:lineRule="auto"/>
        <w:rPr>
          <w:sz w:val="20"/>
          <w:szCs w:val="20"/>
          <w:color w:val="auto"/>
        </w:rPr>
      </w:pPr>
      <w:r>
        <w:rPr>
          <w:rFonts w:ascii="Times New Roman" w:cs="Times New Roman" w:eastAsia="Times New Roman" w:hAnsi="Times New Roman"/>
          <w:sz w:val="14"/>
          <w:szCs w:val="14"/>
          <w:color w:val="auto"/>
        </w:rPr>
        <w:t>The issuance of preferred stock, while providing desired flexibility in connection with possible acquisitions and other corporate purposes, could adversely affect the voting power of holders of ConocoPhillips’ common stock. It also could affect the likelihood that holders of the common stock will receive dividend payments and payments upon liquidation.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Anti-Takeover Provisions of ConocoPhillips’ Certificate of Incorporation and Bylaws</w:t>
      </w:r>
    </w:p>
    <w:p>
      <w:pPr>
        <w:spacing w:after="0" w:line="115" w:lineRule="exact"/>
        <w:rPr>
          <w:sz w:val="20"/>
          <w:szCs w:val="20"/>
          <w:color w:val="auto"/>
        </w:rPr>
      </w:pPr>
    </w:p>
    <w:p>
      <w:pPr>
        <w:ind w:left="1300" w:right="1519" w:firstLine="281"/>
        <w:spacing w:after="0" w:line="259" w:lineRule="auto"/>
        <w:rPr>
          <w:sz w:val="20"/>
          <w:szCs w:val="20"/>
          <w:color w:val="auto"/>
        </w:rPr>
      </w:pPr>
      <w:r>
        <w:rPr>
          <w:rFonts w:ascii="Times New Roman" w:cs="Times New Roman" w:eastAsia="Times New Roman" w:hAnsi="Times New Roman"/>
          <w:sz w:val="14"/>
          <w:szCs w:val="14"/>
          <w:color w:val="auto"/>
        </w:rPr>
        <w:t>ConocoPhillips’ certificate of incorporation and bylaws contain provisions that could delay or make more difficult the acquisition of control of ConocoPhillips through a hostile tender offer, open market purchases, proxy contest, merger or other takeover attempt that a stockholder might consider in his or her best interest, including those attempts that might result in a premium over the market price of ConocoPhillips’ common stock.</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Stock</w:t>
      </w:r>
    </w:p>
    <w:p>
      <w:pPr>
        <w:spacing w:after="0" w:line="12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ConocoPhillips has 2.5 billion authorized shares of common stock and 500 million authorized shares of preferred stock. One of the consequences of ConocoPhillips’ authorized but unissued common stock and undesignated preferred stock may be to enable ConocoPhillips’ board of directors to make more difficult or to discourage an attempt to obtain control of ConocoPhillips. If, in the exercise of its fiduciary obligations, ConocoPhillips’ board of directors determined that a takeover proposal was not in ConocoPhillips’ best interest, the board could authorize the issuance of those shares without stockholder approval, subject to limits imposed by the New York Stock Exchange. The shares could be issued in one or more transactions that might prevent or make the completion of a proposed change of control transaction more difficult or costly by:</w:t>
      </w:r>
    </w:p>
    <w:p>
      <w:pPr>
        <w:spacing w:after="0" w:line="231" w:lineRule="exact"/>
        <w:rPr>
          <w:sz w:val="20"/>
          <w:szCs w:val="20"/>
          <w:color w:val="auto"/>
        </w:rPr>
      </w:pPr>
    </w:p>
    <w:p>
      <w:pPr>
        <w:ind w:left="1720" w:hanging="134"/>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diluting the voting or other rights of the proposed acquiror or insurgent stockholder group;</w:t>
      </w:r>
    </w:p>
    <w:p>
      <w:pPr>
        <w:spacing w:after="0" w:line="9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a substantial voting block in institutional or other hands that might undertake to support the position of the incumbent board; or</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effecting an acquisition that might complicate or preclude the takeover.</w:t>
      </w:r>
    </w:p>
    <w:p>
      <w:pPr>
        <w:spacing w:after="0" w:line="123" w:lineRule="exact"/>
        <w:rPr>
          <w:sz w:val="20"/>
          <w:szCs w:val="20"/>
          <w:color w:val="auto"/>
        </w:rPr>
      </w:pPr>
    </w:p>
    <w:p>
      <w:pPr>
        <w:jc w:val="both"/>
        <w:ind w:left="1300" w:right="1419" w:firstLine="281"/>
        <w:spacing w:after="0" w:line="267" w:lineRule="auto"/>
        <w:rPr>
          <w:sz w:val="20"/>
          <w:szCs w:val="20"/>
          <w:color w:val="auto"/>
        </w:rPr>
      </w:pPr>
      <w:r>
        <w:rPr>
          <w:rFonts w:ascii="Times New Roman" w:cs="Times New Roman" w:eastAsia="Times New Roman" w:hAnsi="Times New Roman"/>
          <w:sz w:val="14"/>
          <w:szCs w:val="14"/>
          <w:color w:val="auto"/>
        </w:rPr>
        <w:t>In this regard, ConocoPhillips’ certificate of incorporation grants its board of directors broad power to establish the rights and preferences of the authorized and unissued preferred stock. ConocoPhillips’ board could establish one or more series of preferred stock that entitle holders to:</w:t>
      </w:r>
    </w:p>
    <w:p>
      <w:pPr>
        <w:spacing w:after="0" w:line="52" w:lineRule="exact"/>
        <w:rPr>
          <w:sz w:val="20"/>
          <w:szCs w:val="20"/>
          <w:color w:val="auto"/>
        </w:rPr>
      </w:pPr>
    </w:p>
    <w:p>
      <w:pPr>
        <w:ind w:left="1720" w:hanging="134"/>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separately as a class on any proposed merger or consolidation;</w:t>
      </w:r>
    </w:p>
    <w:p>
      <w:pPr>
        <w:spacing w:after="0" w:line="9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cast a proportionately larger vote together with ConocoPhillips common stock on any transaction or for all purposes;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 directors having terms of office or voting rights greater than those of other directors;</w:t>
      </w:r>
    </w:p>
    <w:p>
      <w:pPr>
        <w:spacing w:after="0" w:line="91"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preferred stock into a greater number of shares of ConocoPhillips common stock or other securities;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39" w:hanging="134"/>
        <w:spacing w:after="0" w:line="283"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redemption at a specified price under prescribed circumstances related to a change of control of ConocoPhillips; or</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other rights designed to impede a takeover.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 Special Meetings of Stockholders</w:t>
      </w:r>
    </w:p>
    <w:p>
      <w:pPr>
        <w:spacing w:after="0" w:line="115" w:lineRule="exact"/>
        <w:rPr>
          <w:sz w:val="20"/>
          <w:szCs w:val="20"/>
          <w:color w:val="auto"/>
        </w:rPr>
      </w:pPr>
    </w:p>
    <w:p>
      <w:pPr>
        <w:jc w:val="both"/>
        <w:ind w:left="1300" w:right="1439" w:firstLine="281"/>
        <w:spacing w:after="0" w:line="261" w:lineRule="auto"/>
        <w:rPr>
          <w:sz w:val="20"/>
          <w:szCs w:val="20"/>
          <w:color w:val="auto"/>
        </w:rPr>
      </w:pPr>
      <w:r>
        <w:rPr>
          <w:rFonts w:ascii="Times New Roman" w:cs="Times New Roman" w:eastAsia="Times New Roman" w:hAnsi="Times New Roman"/>
          <w:sz w:val="14"/>
          <w:szCs w:val="14"/>
          <w:color w:val="auto"/>
        </w:rPr>
        <w:t>ConocoPhillips’ certificate of incorporation provides that no action that is required or permitted to be taken by its stockholders at any annual or special meeting may be taken by written consent of stockholders in lieu of a meeting, and that special meetings of stockholders may be called only by the board of directors or the chairman of the board.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Procedure for Director Nominations and Stockholder Proposals; Proxy Access</w:t>
      </w:r>
    </w:p>
    <w:p>
      <w:pPr>
        <w:spacing w:after="0" w:line="125"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ConocoPhillips’ bylaws provide the manner in which stockholders may give notice of stockholder nominations and other business to be brought before an annual meeting. In general, to bring a matter before an annual meeting or to nominate a candidate for director, a stockholder must give notice of the proposed matter or nomination not less than 90 and not more than 120 days prior to the first anniversary date of the immediately preceding meeting. If the annual meeting is not within 30 days before or after the anniversary date of the preceding annual meeting, the stockholder notice must be received not earlier than the 120th day prior to the date of such annual meeting and not later than the close of business on the later of (1) 90 days prior to the date of the annual meeting or (2) if the first public announcement of the date of such annual meeting is less than 100 days prior to the date of the annual meeting, the close of business on the 10th day following the day on which notice of the annual meeting was mailed or first publicly disclosed.</w:t>
      </w:r>
    </w:p>
    <w:p>
      <w:pPr>
        <w:spacing w:after="0" w:line="96" w:lineRule="exact"/>
        <w:rPr>
          <w:sz w:val="20"/>
          <w:szCs w:val="20"/>
          <w:color w:val="auto"/>
        </w:rPr>
      </w:pPr>
    </w:p>
    <w:p>
      <w:pPr>
        <w:ind w:left="1300" w:right="1319" w:firstLine="281"/>
        <w:spacing w:after="0" w:line="253" w:lineRule="auto"/>
        <w:rPr>
          <w:sz w:val="20"/>
          <w:szCs w:val="20"/>
          <w:color w:val="auto"/>
        </w:rPr>
      </w:pPr>
      <w:r>
        <w:rPr>
          <w:rFonts w:ascii="Times New Roman" w:cs="Times New Roman" w:eastAsia="Times New Roman" w:hAnsi="Times New Roman"/>
          <w:sz w:val="14"/>
          <w:szCs w:val="14"/>
          <w:color w:val="auto"/>
        </w:rPr>
        <w:t>In addition to the director nomination provisions described above, our by-laws contain a “proxy access” provision that provides that any stockholder or group of up to twenty stockholders who have owned 3% or more of our outstanding common stock continuously for at least three years to nominate and include in our proxy materials director candidates constituting up to 20% of our board of directors or two directors, whichever is greater, provided that the stockholders and the nominees satisfy the eligibility requirements specified in our by-laws. A stockholder proposing to nominate a person for election to our board of directors through the proxy access provision must provide us with a notice requesting the inclusion of the director nominee in our proxy materials and other required information not less than 120 days nor more than</w:t>
      </w:r>
    </w:p>
    <w:p>
      <w:pPr>
        <w:spacing w:after="0" w:line="4" w:lineRule="exact"/>
        <w:rPr>
          <w:sz w:val="20"/>
          <w:szCs w:val="20"/>
          <w:color w:val="auto"/>
        </w:rPr>
      </w:pPr>
    </w:p>
    <w:p>
      <w:pPr>
        <w:ind w:left="1300" w:right="1359"/>
        <w:spacing w:after="0" w:line="254" w:lineRule="auto"/>
        <w:rPr>
          <w:sz w:val="20"/>
          <w:szCs w:val="20"/>
          <w:color w:val="auto"/>
        </w:rPr>
      </w:pPr>
      <w:r>
        <w:rPr>
          <w:rFonts w:ascii="Times New Roman" w:cs="Times New Roman" w:eastAsia="Times New Roman" w:hAnsi="Times New Roman"/>
          <w:sz w:val="14"/>
          <w:szCs w:val="14"/>
          <w:color w:val="auto"/>
        </w:rPr>
        <w:t>150 days prior to the first anniversary of the date on which we first mail our proxy materials for the preceding year’s annual meeting of stockholders. In addition an eligible stockholder may include a written statement of not more than 500 words supporting the candidacy of such stockholder nominee. The complete proxy access provision for director nominations are set forth in our by-laws.</w:t>
      </w:r>
    </w:p>
    <w:p>
      <w:pPr>
        <w:spacing w:after="0" w:line="83" w:lineRule="exact"/>
        <w:rPr>
          <w:sz w:val="20"/>
          <w:szCs w:val="20"/>
          <w:color w:val="auto"/>
        </w:rPr>
      </w:pPr>
    </w:p>
    <w:p>
      <w:pPr>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These procedures may limit the ability of stockholders to nominate candidates for director and bring other business before a stockholders meeting, including the consideration of any transaction that could result in a change of control and that might result in a premium to ConocoPhillips’ stockholders.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Fair Price Provision</w:t>
      </w:r>
    </w:p>
    <w:p>
      <w:pPr>
        <w:spacing w:after="0" w:line="125" w:lineRule="exact"/>
        <w:rPr>
          <w:sz w:val="20"/>
          <w:szCs w:val="20"/>
          <w:color w:val="auto"/>
        </w:rPr>
      </w:pPr>
    </w:p>
    <w:p>
      <w:pPr>
        <w:ind w:left="1300" w:right="1439" w:firstLine="281"/>
        <w:spacing w:after="0" w:line="243" w:lineRule="auto"/>
        <w:rPr>
          <w:sz w:val="20"/>
          <w:szCs w:val="20"/>
          <w:color w:val="auto"/>
        </w:rPr>
      </w:pPr>
      <w:r>
        <w:rPr>
          <w:rFonts w:ascii="Times New Roman" w:cs="Times New Roman" w:eastAsia="Times New Roman" w:hAnsi="Times New Roman"/>
          <w:sz w:val="14"/>
          <w:szCs w:val="14"/>
          <w:color w:val="auto"/>
        </w:rPr>
        <w:t>ConocoPhillips’ certificate of incorporation requires that specified business combinations involving a person or entity that beneficially owns 15% or more of the outstanding shares of ConocoPhillips voting stock or that is an affiliate of that person, which we refer to as a related person, must be approved by (1) at least 80% of the votes entitled to be cast by the voting stock and (2)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votes entitled to be cast by the voting stock other than voting stock owned by the related person. These supermajority requirements do not apply if:</w:t>
      </w:r>
    </w:p>
    <w:p>
      <w:pPr>
        <w:spacing w:after="0" w:line="69" w:lineRule="exact"/>
        <w:rPr>
          <w:sz w:val="20"/>
          <w:szCs w:val="20"/>
          <w:color w:val="auto"/>
        </w:rPr>
      </w:pPr>
    </w:p>
    <w:p>
      <w:pPr>
        <w:ind w:left="1720" w:right="1359" w:hanging="134"/>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the directors who are unaffiliated with the related person and who were in office before the related person became a related person approve the transaction; or</w:t>
      </w:r>
    </w:p>
    <w:p>
      <w:pPr>
        <w:spacing w:after="0" w:line="41" w:lineRule="exact"/>
        <w:rPr>
          <w:rFonts w:ascii="Times New Roman" w:cs="Times New Roman" w:eastAsia="Times New Roman" w:hAnsi="Times New Roman"/>
          <w:sz w:val="14"/>
          <w:szCs w:val="14"/>
          <w:color w:val="auto"/>
        </w:rPr>
      </w:pPr>
    </w:p>
    <w:p>
      <w:pPr>
        <w:ind w:left="1720" w:right="1739" w:hanging="134"/>
        <w:spacing w:after="0" w:line="261"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fair price conditions are met that in general provide that the payment received by the stockholders in the business combination is not less than the amount the related person paid or agreed to pay for any shares of ConocoPhillips’ voting stock acquired within one year of the business combination.</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and Bylaws</w:t>
      </w:r>
    </w:p>
    <w:p>
      <w:pPr>
        <w:spacing w:after="0" w:line="125" w:lineRule="exact"/>
        <w:rPr>
          <w:sz w:val="20"/>
          <w:szCs w:val="20"/>
          <w:color w:val="auto"/>
        </w:rPr>
      </w:pPr>
    </w:p>
    <w:p>
      <w:pPr>
        <w:ind w:left="1300" w:right="1339" w:firstLine="281"/>
        <w:spacing w:after="0" w:line="252" w:lineRule="auto"/>
        <w:rPr>
          <w:sz w:val="20"/>
          <w:szCs w:val="20"/>
          <w:color w:val="auto"/>
        </w:rPr>
      </w:pPr>
      <w:r>
        <w:rPr>
          <w:rFonts w:ascii="Times New Roman" w:cs="Times New Roman" w:eastAsia="Times New Roman" w:hAnsi="Times New Roman"/>
          <w:sz w:val="14"/>
          <w:szCs w:val="14"/>
          <w:color w:val="auto"/>
        </w:rPr>
        <w:t>Amendments to ConocoPhillips’ certificate of incorporation generally must be approved by the board of directors and by a majority of the outstanding stock entitled to vote on the amendment, and, if applicable, by a majority of the outstanding stock of each class or series entitled to vote on the amendment as a class or series.</w:t>
      </w:r>
    </w:p>
    <w:p>
      <w:pPr>
        <w:spacing w:after="0" w:line="250" w:lineRule="exact"/>
        <w:rPr>
          <w:sz w:val="20"/>
          <w:szCs w:val="20"/>
          <w:color w:val="auto"/>
        </w:rPr>
      </w:pPr>
    </w:p>
    <w:p>
      <w:pPr>
        <w:ind w:left="1300" w:right="1419" w:firstLine="281"/>
        <w:spacing w:after="0" w:line="245" w:lineRule="auto"/>
        <w:rPr>
          <w:sz w:val="20"/>
          <w:szCs w:val="20"/>
          <w:color w:val="auto"/>
        </w:rPr>
      </w:pPr>
      <w:r>
        <w:rPr>
          <w:rFonts w:ascii="Times New Roman" w:cs="Times New Roman" w:eastAsia="Times New Roman" w:hAnsi="Times New Roman"/>
          <w:sz w:val="14"/>
          <w:szCs w:val="14"/>
          <w:color w:val="auto"/>
        </w:rPr>
        <w:t>Under ConocoPhillips’ certificate of incorporation, the affirmative vote of shares representing not less than 80% of the votes entitled to be cast by the voting stock is required to alter, amend or adopt any provision inconsistent with or repeal the provisions that, among others, (1) control the constitution of the board of directors, (2) deny stockholders the right to call a special meeting or to act by written consent,</w:t>
      </w:r>
    </w:p>
    <w:p>
      <w:pPr>
        <w:ind w:left="1300" w:right="1319" w:firstLine="5"/>
        <w:spacing w:after="0" w:line="259" w:lineRule="auto"/>
        <w:tabs>
          <w:tab w:leader="none" w:pos="151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or eliminate the liability of directors of ConocoPhillips and (4) set the 80% supermajority threshold applicable with respect to the provisions above.</w:t>
      </w:r>
    </w:p>
    <w:p>
      <w:pPr>
        <w:spacing w:after="0" w:line="78" w:lineRule="exact"/>
        <w:rPr>
          <w:sz w:val="20"/>
          <w:szCs w:val="20"/>
          <w:color w:val="auto"/>
        </w:rPr>
      </w:pPr>
    </w:p>
    <w:p>
      <w:pPr>
        <w:ind w:left="1300" w:right="1499" w:firstLine="281"/>
        <w:spacing w:after="0" w:line="223" w:lineRule="auto"/>
        <w:rPr>
          <w:sz w:val="20"/>
          <w:szCs w:val="20"/>
          <w:color w:val="auto"/>
        </w:rPr>
      </w:pPr>
      <w:r>
        <w:rPr>
          <w:rFonts w:ascii="Times New Roman" w:cs="Times New Roman" w:eastAsia="Times New Roman" w:hAnsi="Times New Roman"/>
          <w:sz w:val="14"/>
          <w:szCs w:val="14"/>
          <w:color w:val="auto"/>
        </w:rPr>
        <w:t>Additionally, the affirmative vote of shares representing (1) not less than 80% of the votes entitled to be cast by the voting stock, voting together as a single class, and (2) not less than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votes</w:t>
      </w:r>
    </w:p>
    <w:p>
      <w:pPr>
        <w:ind w:left="1300" w:right="1419"/>
        <w:spacing w:after="0" w:line="259" w:lineRule="auto"/>
        <w:rPr>
          <w:sz w:val="20"/>
          <w:szCs w:val="20"/>
          <w:color w:val="auto"/>
        </w:rPr>
      </w:pPr>
      <w:r>
        <w:rPr>
          <w:rFonts w:ascii="Times New Roman" w:cs="Times New Roman" w:eastAsia="Times New Roman" w:hAnsi="Times New Roman"/>
          <w:sz w:val="14"/>
          <w:szCs w:val="14"/>
          <w:color w:val="auto"/>
        </w:rPr>
        <w:t>entitled to be cast by the voting stock not owned, directly or indirectly, by any related person is required to amend, repeal, or adopt any provisions inconsistent with, the fair price provision described above.</w:t>
      </w:r>
    </w:p>
    <w:p>
      <w:pPr>
        <w:spacing w:after="0" w:line="78"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ConocoPhillips’ bylaws have similar supermajority vote requirements for provisions relating to, among others, special stockholder meetings; prohibition on action by stockholder written consent; nominating directors and bringing business before an annual stockholder meeting; the number, classification and qualification of directors; filling vacancies on the board of directors; and removing directors.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Limitation of Liability of Directors</w:t>
      </w:r>
    </w:p>
    <w:p>
      <w:pPr>
        <w:spacing w:after="0" w:line="125" w:lineRule="exact"/>
        <w:rPr>
          <w:sz w:val="20"/>
          <w:szCs w:val="20"/>
          <w:color w:val="auto"/>
        </w:rPr>
      </w:pPr>
    </w:p>
    <w:p>
      <w:pPr>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To the fullest extent permitted by Delaware law, ConocoPhillips’ directors will not be personally liable to ConocoPhillips or its stockholders for monetary damages for breach of fiduciary duty as a director. Delaware law currently permits the elimination of all liability for breach of fiduciary duty, except liability:</w:t>
      </w:r>
    </w:p>
    <w:p>
      <w:pPr>
        <w:spacing w:after="0" w:line="53" w:lineRule="exact"/>
        <w:rPr>
          <w:sz w:val="20"/>
          <w:szCs w:val="20"/>
          <w:color w:val="auto"/>
        </w:rPr>
      </w:pPr>
    </w:p>
    <w:p>
      <w:pPr>
        <w:ind w:left="1720" w:hanging="134"/>
        <w:spacing w:after="0"/>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duty of loyalty to ConocoPhillips or its stockholders;</w:t>
      </w:r>
    </w:p>
    <w:p>
      <w:pPr>
        <w:spacing w:after="0" w:line="91" w:lineRule="exact"/>
        <w:rPr>
          <w:rFonts w:ascii="Times New Roman" w:cs="Times New Roman" w:eastAsia="Times New Roman" w:hAnsi="Times New Roman"/>
          <w:sz w:val="14"/>
          <w:szCs w:val="14"/>
          <w:color w:val="auto"/>
        </w:rPr>
      </w:pPr>
    </w:p>
    <w:p>
      <w:pPr>
        <w:ind w:left="1720" w:right="1379" w:hanging="134"/>
        <w:spacing w:after="0" w:line="261"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involving intentional misconduct or a knowing violation of law;</w:t>
      </w:r>
    </w:p>
    <w:p>
      <w:pPr>
        <w:spacing w:after="0" w:line="245"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unlawful payment of a dividend or unlawful stock purchases or redemptions;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derived an improper personal benefit.</w:t>
      </w:r>
    </w:p>
    <w:p>
      <w:pPr>
        <w:spacing w:after="0" w:line="123" w:lineRule="exact"/>
        <w:rPr>
          <w:sz w:val="20"/>
          <w:szCs w:val="20"/>
          <w:color w:val="auto"/>
        </w:rPr>
      </w:pPr>
    </w:p>
    <w:p>
      <w:pPr>
        <w:ind w:left="1300" w:right="1339" w:firstLine="281"/>
        <w:spacing w:after="0" w:line="252" w:lineRule="auto"/>
        <w:rPr>
          <w:sz w:val="20"/>
          <w:szCs w:val="20"/>
          <w:color w:val="auto"/>
        </w:rPr>
      </w:pPr>
      <w:r>
        <w:rPr>
          <w:rFonts w:ascii="Times New Roman" w:cs="Times New Roman" w:eastAsia="Times New Roman" w:hAnsi="Times New Roman"/>
          <w:sz w:val="14"/>
          <w:szCs w:val="14"/>
          <w:color w:val="auto"/>
        </w:rPr>
        <w:t>As a result, neither ConocoPhillips nor its stockholders have the right, through stockholders’ derivative suits on ConocoPhillips’ behalf, to recover monetary damages against a director for breach of fiduciary duty as a director, including breaches resulting from grossly negligent behavior, except in the situations described above.</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Delaware Anti-Takeover Law</w:t>
      </w:r>
    </w:p>
    <w:p>
      <w:pPr>
        <w:spacing w:after="0" w:line="125"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ConocoPhillips is a Delaware corporation and is subject to Section 203 of the Delaware General Corporation Law, which regulates corporate acquisitions.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57" w:lineRule="exact"/>
        <w:rPr>
          <w:sz w:val="20"/>
          <w:szCs w:val="20"/>
          <w:color w:val="auto"/>
        </w:rPr>
      </w:pPr>
    </w:p>
    <w:p>
      <w:pPr>
        <w:ind w:left="1720" w:right="1399" w:hanging="134"/>
        <w:spacing w:after="0" w:line="283" w:lineRule="auto"/>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of the corporation had previously approved either the business combination or the transaction that resulted in the stockholder’s becoming an interested stockholder;</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58" w:lineRule="auto"/>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stockholder’s becoming an interested stockholder, that person owned at least 85% of the voting stock of the corporation outstanding at the time the transaction commenced, excluding shares owned by persons who are directors and also officers and shares owned in employee stock plans in which participants do not have the right to determine confidentially whether shares held subject to the plan will be tendered in a tender or exchange offer; or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619" w:hanging="134"/>
        <w:spacing w:after="0" w:line="267"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84"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265" w:lineRule="exact"/>
        <w:rPr>
          <w:sz w:val="20"/>
          <w:szCs w:val="20"/>
          <w:color w:val="auto"/>
        </w:rPr>
      </w:pPr>
    </w:p>
    <w:p>
      <w:pPr>
        <w:ind w:left="1300" w:right="1479" w:firstLine="281"/>
        <w:spacing w:after="0" w:line="283" w:lineRule="auto"/>
        <w:rPr>
          <w:sz w:val="20"/>
          <w:szCs w:val="20"/>
          <w:color w:val="auto"/>
        </w:rPr>
      </w:pPr>
      <w:r>
        <w:rPr>
          <w:rFonts w:ascii="Times New Roman" w:cs="Times New Roman" w:eastAsia="Times New Roman" w:hAnsi="Times New Roman"/>
          <w:sz w:val="14"/>
          <w:szCs w:val="14"/>
          <w:color w:val="auto"/>
        </w:rPr>
        <w:t>Section 203 may make it more difficult for a person who would be an interested stockholder to effect various business combinations with a corporation for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5" w:lineRule="exact"/>
        <w:rPr>
          <w:sz w:val="20"/>
          <w:szCs w:val="20"/>
          <w:color w:val="auto"/>
        </w:rPr>
      </w:pPr>
    </w:p>
    <w:p>
      <w:pPr>
        <w:ind w:left="1300" w:right="1399" w:firstLine="281"/>
        <w:spacing w:after="0" w:line="259" w:lineRule="auto"/>
        <w:rPr>
          <w:sz w:val="20"/>
          <w:szCs w:val="20"/>
          <w:color w:val="auto"/>
        </w:rPr>
      </w:pPr>
      <w:r>
        <w:rPr>
          <w:rFonts w:ascii="Times New Roman" w:cs="Times New Roman" w:eastAsia="Times New Roman" w:hAnsi="Times New Roman"/>
          <w:sz w:val="14"/>
          <w:szCs w:val="14"/>
          <w:color w:val="auto"/>
        </w:rPr>
        <w:t>ConocoPhillips may issue warrants to purchase any combination of debt securities, common stock, preferred stock, depositary shares or other securities of ConocoPhillips or any other entity. ConocoPhillips may issue warrants independently or together with other securities. Warrants sold with other securities may be attached to or separate from the other securities. ConocoPhillips will issue warrants under one or more warrant agreements between it and a warrant agent that we will name in the prospectus supplement.</w:t>
      </w:r>
    </w:p>
    <w:p>
      <w:pPr>
        <w:spacing w:after="0" w:line="89" w:lineRule="exact"/>
        <w:rPr>
          <w:sz w:val="20"/>
          <w:szCs w:val="20"/>
          <w:color w:val="auto"/>
        </w:rPr>
      </w:pPr>
    </w:p>
    <w:p>
      <w:pPr>
        <w:ind w:left="1300" w:right="1379" w:firstLine="281"/>
        <w:spacing w:after="0" w:line="261" w:lineRule="auto"/>
        <w:rPr>
          <w:sz w:val="20"/>
          <w:szCs w:val="20"/>
          <w:color w:val="auto"/>
        </w:rPr>
      </w:pPr>
      <w:r>
        <w:rPr>
          <w:rFonts w:ascii="Times New Roman" w:cs="Times New Roman" w:eastAsia="Times New Roman" w:hAnsi="Times New Roman"/>
          <w:sz w:val="14"/>
          <w:szCs w:val="14"/>
          <w:color w:val="auto"/>
        </w:rPr>
        <w:t>The prospectus supplement relating to any warrants ConocoPhillips is offering will include specific terms relating to the offering. We will file the form of any warrant agreement with the SEC, and you should read the warrant agreement for provisions that may be important to you. The prospectus supplement will include some or all of the following terms:</w:t>
      </w:r>
    </w:p>
    <w:p>
      <w:pPr>
        <w:spacing w:after="0" w:line="57" w:lineRule="exact"/>
        <w:rPr>
          <w:sz w:val="20"/>
          <w:szCs w:val="20"/>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 offered;</w:t>
      </w:r>
    </w:p>
    <w:p>
      <w:pPr>
        <w:spacing w:after="0" w:line="91" w:lineRule="exact"/>
        <w:rPr>
          <w:rFonts w:ascii="Times New Roman" w:cs="Times New Roman" w:eastAsia="Times New Roman" w:hAnsi="Times New Roman"/>
          <w:sz w:val="14"/>
          <w:szCs w:val="14"/>
          <w:color w:val="auto"/>
        </w:rPr>
      </w:pPr>
    </w:p>
    <w:p>
      <w:pPr>
        <w:ind w:left="1720" w:right="1479" w:hanging="134"/>
        <w:spacing w:after="0" w:line="267"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number and terms of the debt securities, common stock, preferred stock, rights or other securities purchasable upon exercise of the warrants, and procedures by which the number of securities purchasable may be adjusted;</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 warrants;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or periods during which the warrants are exercisable;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securities with which the warrants are issued;</w:t>
      </w:r>
    </w:p>
    <w:p>
      <w:pPr>
        <w:spacing w:after="0" w:line="91"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warrants are issued as a unit with another security, the date, if any, on and after which the warrants and the other security will be separately transferable;</w:t>
      </w:r>
    </w:p>
    <w:p>
      <w:pPr>
        <w:spacing w:after="0" w:line="4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exercise price is not payable in U.S. dollars, the foreign currency, currency unit or composite currency in which the exercise price is denominated;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minimum or maximum amount of warrants that may be exercised at any one time; and</w:t>
      </w:r>
    </w:p>
    <w:p>
      <w:pPr>
        <w:spacing w:after="0" w:line="91"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procedures and limitations relating to the transferability,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ind w:left="1300" w:right="1519" w:firstLine="281"/>
        <w:spacing w:after="0" w:line="251" w:lineRule="auto"/>
        <w:rPr>
          <w:sz w:val="20"/>
          <w:szCs w:val="20"/>
          <w:color w:val="auto"/>
        </w:rPr>
      </w:pPr>
      <w:r>
        <w:rPr>
          <w:rFonts w:ascii="Times New Roman" w:cs="Times New Roman" w:eastAsia="Times New Roman" w:hAnsi="Times New Roman"/>
          <w:sz w:val="14"/>
          <w:szCs w:val="14"/>
          <w:color w:val="auto"/>
        </w:rPr>
        <w:t>ConocoPhillips may elect to offer shares of its preferred stock represented by depositary shares. The shares of any series of the preferred stock underlying the depositary shares will be deposited under a separate deposit agreement between ConocoPhillips and a bank or trust company we will name in the prospectus supplement.</w:t>
      </w:r>
    </w:p>
    <w:p>
      <w:pPr>
        <w:spacing w:after="0" w:line="84" w:lineRule="exact"/>
        <w:rPr>
          <w:sz w:val="20"/>
          <w:szCs w:val="20"/>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color w:val="auto"/>
        </w:rPr>
        <w:t>Subject to the terms of the deposit agreement, each holder of a depositary share will be entitled, proportionately, to all the rights, preferences and privileges of the preferred stock represented by that depositary share, including dividend, voting, redemption, conversion, exchange and liquidation rights. The depositary shares will be evidenced by depositary receipts issued under the deposit agreement. Each receipt will represent the applicable interest in a number of shares of a particular series of the preferred stock, which we will describe in the prospectus supplement.</w:t>
      </w:r>
    </w:p>
    <w:p>
      <w:pPr>
        <w:spacing w:after="0" w:line="86" w:lineRule="exact"/>
        <w:rPr>
          <w:sz w:val="20"/>
          <w:szCs w:val="20"/>
          <w:color w:val="auto"/>
        </w:rPr>
      </w:pPr>
    </w:p>
    <w:p>
      <w:pPr>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We have summarized below selected provisions of the deposit agreement, the related depositary shares and depositary receipts evidencing those shares. This summary is not complete. We will file the form of deposit agreement and the form of depositary receipts with the SEC before ConocoPhillips issues any depositary shares, and you should read those documents for provisions that may be important to you.</w:t>
      </w:r>
    </w:p>
    <w:p>
      <w:pPr>
        <w:spacing w:after="0" w:line="84" w:lineRule="exact"/>
        <w:rPr>
          <w:sz w:val="20"/>
          <w:szCs w:val="20"/>
          <w:color w:val="auto"/>
        </w:rPr>
      </w:pPr>
    </w:p>
    <w:p>
      <w:pPr>
        <w:ind w:left="1300" w:right="1319" w:firstLine="281"/>
        <w:spacing w:after="0" w:line="247" w:lineRule="auto"/>
        <w:rPr>
          <w:sz w:val="20"/>
          <w:szCs w:val="20"/>
          <w:color w:val="auto"/>
        </w:rPr>
      </w:pPr>
      <w:r>
        <w:rPr>
          <w:rFonts w:ascii="Times New Roman" w:cs="Times New Roman" w:eastAsia="Times New Roman" w:hAnsi="Times New Roman"/>
          <w:sz w:val="14"/>
          <w:szCs w:val="14"/>
          <w:color w:val="auto"/>
        </w:rPr>
        <w:t>A holder of depositary shares will be entitled to receive the whole number of shares of preferred stock underlying those depositary shares. Holders will not be entitled to receive fractional shares. If the depositary receipts delivered by the holder evidence a number of depositary shares in excess of the whole number of shares to be withdrawn, the depositary will deliver to that holder at the same time a new depositary receipt for the excess number of depositary shares.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25" w:lineRule="exact"/>
        <w:rPr>
          <w:sz w:val="20"/>
          <w:szCs w:val="20"/>
          <w:color w:val="auto"/>
        </w:rPr>
      </w:pPr>
    </w:p>
    <w:p>
      <w:pPr>
        <w:jc w:val="both"/>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with respect to the preferred stock to the record holders of depositary receipts in proportion to the number of depositary shares owned by those holders.</w:t>
      </w:r>
    </w:p>
    <w:p>
      <w:pPr>
        <w:spacing w:after="0" w:line="84" w:lineRule="exact"/>
        <w:rPr>
          <w:sz w:val="20"/>
          <w:szCs w:val="20"/>
          <w:color w:val="auto"/>
        </w:rPr>
      </w:pPr>
    </w:p>
    <w:p>
      <w:pPr>
        <w:ind w:left="1300" w:right="1439" w:firstLine="281"/>
        <w:spacing w:after="0" w:line="248" w:lineRule="auto"/>
        <w:rPr>
          <w:sz w:val="20"/>
          <w:szCs w:val="20"/>
          <w:color w:val="auto"/>
        </w:rPr>
      </w:pPr>
      <w:r>
        <w:rPr>
          <w:rFonts w:ascii="Times New Roman" w:cs="Times New Roman" w:eastAsia="Times New Roman" w:hAnsi="Times New Roman"/>
          <w:sz w:val="14"/>
          <w:szCs w:val="14"/>
          <w:color w:val="auto"/>
        </w:rPr>
        <w:t>If there is a distribution other than in cash, the depositary will distribute property received by it to the record holders of depositary receipts in proportion, insofar as possible, to the number of depositary shares owned by those holders. If the depositary determines that it is not feasible to make such a distribution, it may, with ConocoPhillips’ approval, adopt any method that it deems equitable and practicable to effect the distribution, including a sale of the property and distribution of the net proceeds from the sale to the holders.</w:t>
      </w:r>
    </w:p>
    <w:p>
      <w:pPr>
        <w:spacing w:after="0" w:line="252"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The amount distributed in any of the above cases will be reduced by any amount ConocoPhillips or the depositary is required to withhold on account of taxes.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Conversion and Exchange</w:t>
      </w:r>
    </w:p>
    <w:p>
      <w:pPr>
        <w:spacing w:after="0" w:line="115"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If any preferred stock underlying the depositary shares is subject to provisions relating to its conversion or exchange as described in the prospectus supplement, each record holder of depositary shares will have the right or obligation to convert or exchange those depositary shares in accordance with those provisions.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125" w:lineRule="exact"/>
        <w:rPr>
          <w:sz w:val="20"/>
          <w:szCs w:val="20"/>
          <w:color w:val="auto"/>
        </w:rPr>
      </w:pPr>
    </w:p>
    <w:p>
      <w:pPr>
        <w:ind w:left="1300" w:right="1319" w:firstLine="281"/>
        <w:spacing w:after="0" w:line="248" w:lineRule="auto"/>
        <w:rPr>
          <w:sz w:val="20"/>
          <w:szCs w:val="20"/>
          <w:color w:val="auto"/>
        </w:rPr>
      </w:pPr>
      <w:r>
        <w:rPr>
          <w:rFonts w:ascii="Times New Roman" w:cs="Times New Roman" w:eastAsia="Times New Roman" w:hAnsi="Times New Roman"/>
          <w:sz w:val="14"/>
          <w:szCs w:val="14"/>
          <w:color w:val="auto"/>
        </w:rPr>
        <w:t>Whenever ConocoPhillips redeems a share of preferred stock held by the depositary, the depositary will redeem on the same redemption date a proportionate number of depositary shares representing the shares of preferred stock redeemed. The redemption price per depositary share will be equal to the aggregate redemption price payable with respect to the number of shares of preferred stock underlying the depositary shares. If fewer than all the depositary shares are to be redeemed, the depositary shares to be redeemed will be selected by lot or proportionately as ConocoPhillips may determine.</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25" w:lineRule="exact"/>
        <w:rPr>
          <w:sz w:val="20"/>
          <w:szCs w:val="20"/>
          <w:color w:val="auto"/>
        </w:rPr>
      </w:pPr>
    </w:p>
    <w:p>
      <w:pPr>
        <w:ind w:left="1300" w:right="1399" w:firstLine="281"/>
        <w:spacing w:after="0" w:line="268"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the preferred stock underlying the depositary shares are entitled to vote, the depositary will mail the information contained in the notice to the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66" w:lineRule="auto"/>
        <w:rPr>
          <w:sz w:val="20"/>
          <w:szCs w:val="20"/>
          <w:color w:val="auto"/>
        </w:rPr>
      </w:pPr>
      <w:r>
        <w:rPr>
          <w:rFonts w:ascii="Times New Roman" w:cs="Times New Roman" w:eastAsia="Times New Roman" w:hAnsi="Times New Roman"/>
          <w:sz w:val="14"/>
          <w:szCs w:val="14"/>
          <w:color w:val="auto"/>
        </w:rPr>
        <w:t>record holders of the depositary receipts. Each record holder of the depositary receipts on the record date, which will be the same date as the record date for the preferred stock, may then instruct the depositary as to the exercise of the voting rights pertaining to the number of shares of preferred stock underlying that holder’s depositary shares. The depositary will try, as far as practicable, to vote the number of shares of preferred stock underlying the depositary shares in accordance with the instructions, and ConocoPhillips will agree to take all reasonable action that the depositary deems necessary to enable the depositary to do so. The depositary will abstain from voting the preferred stock to the extent that it does not receive specific written instructions from holders of depositary shares representing the preferred stock.</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Record Date</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Whenever:</w:t>
      </w:r>
    </w:p>
    <w:p>
      <w:pPr>
        <w:spacing w:after="0" w:line="113" w:lineRule="exact"/>
        <w:rPr>
          <w:sz w:val="20"/>
          <w:szCs w:val="20"/>
          <w:color w:val="auto"/>
        </w:rPr>
      </w:pPr>
    </w:p>
    <w:p>
      <w:pPr>
        <w:ind w:left="1720" w:right="1599" w:hanging="134"/>
        <w:spacing w:after="0" w:line="283" w:lineRule="auto"/>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dividend or other cash distribution becomes payable, any distribution other than cash is made, or any rights, preferences or privileges are offered with respect to the preferred stock, or</w:t>
      </w:r>
    </w:p>
    <w:p>
      <w:pPr>
        <w:spacing w:after="0" w:line="51" w:lineRule="exact"/>
        <w:rPr>
          <w:rFonts w:ascii="Times New Roman" w:cs="Times New Roman" w:eastAsia="Times New Roman" w:hAnsi="Times New Roman"/>
          <w:sz w:val="14"/>
          <w:szCs w:val="14"/>
          <w:color w:val="auto"/>
        </w:rPr>
      </w:pPr>
    </w:p>
    <w:p>
      <w:pPr>
        <w:ind w:left="1720" w:right="1319" w:hanging="134"/>
        <w:spacing w:after="0" w:line="267" w:lineRule="auto"/>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receives notice of any meeting at which holders of preferred stock are entitled to vote or of which holders of preferred stock are entitled to notice, or of the mandatory conversion of or any election by ConocoPhillips to call for the redemption of any preferred stock,</w:t>
      </w:r>
    </w:p>
    <w:p>
      <w:pPr>
        <w:spacing w:after="0" w:line="84" w:lineRule="exact"/>
        <w:rPr>
          <w:sz w:val="20"/>
          <w:szCs w:val="20"/>
          <w:color w:val="auto"/>
        </w:rPr>
      </w:pPr>
    </w:p>
    <w:p>
      <w:pPr>
        <w:ind w:left="1300" w:right="1719"/>
        <w:spacing w:after="0" w:line="299" w:lineRule="auto"/>
        <w:rPr>
          <w:sz w:val="20"/>
          <w:szCs w:val="20"/>
          <w:color w:val="auto"/>
        </w:rPr>
      </w:pPr>
      <w:r>
        <w:rPr>
          <w:rFonts w:ascii="Times New Roman" w:cs="Times New Roman" w:eastAsia="Times New Roman" w:hAnsi="Times New Roman"/>
          <w:sz w:val="14"/>
          <w:szCs w:val="14"/>
          <w:color w:val="auto"/>
        </w:rPr>
        <w:t>the depositary will in each instance fix a record date, which will be the same as the record date for the preferred stock, for the determination of the holders of depositary receipts:</w:t>
      </w:r>
    </w:p>
    <w:p>
      <w:pPr>
        <w:spacing w:after="0" w:line="51" w:lineRule="exact"/>
        <w:rPr>
          <w:sz w:val="20"/>
          <w:szCs w:val="20"/>
          <w:color w:val="auto"/>
        </w:rPr>
      </w:pPr>
    </w:p>
    <w:p>
      <w:pPr>
        <w:ind w:left="1720" w:right="1439" w:hanging="134"/>
        <w:spacing w:after="0" w:line="283" w:lineRule="auto"/>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 will be entitled to receive the dividend, distribution, rights, preferences or privileges or the net proceeds of any sale, or</w:t>
      </w:r>
    </w:p>
    <w:p>
      <w:pPr>
        <w:spacing w:after="0" w:line="62"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 will be entitled to give instructions for the exercise of voting rights at any such meeting or to receive notice of the meeting or the redemption or conversion.</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 Agreement</w:t>
      </w:r>
    </w:p>
    <w:p>
      <w:pPr>
        <w:spacing w:after="0" w:line="115" w:lineRule="exact"/>
        <w:rPr>
          <w:sz w:val="20"/>
          <w:szCs w:val="20"/>
          <w:color w:val="auto"/>
        </w:rPr>
      </w:pPr>
    </w:p>
    <w:p>
      <w:pPr>
        <w:ind w:left="1300" w:right="1379" w:firstLine="281"/>
        <w:spacing w:after="0" w:line="266" w:lineRule="auto"/>
        <w:rPr>
          <w:sz w:val="20"/>
          <w:szCs w:val="20"/>
          <w:color w:val="auto"/>
        </w:rPr>
      </w:pPr>
      <w:r>
        <w:rPr>
          <w:rFonts w:ascii="Times New Roman" w:cs="Times New Roman" w:eastAsia="Times New Roman" w:hAnsi="Times New Roman"/>
          <w:sz w:val="14"/>
          <w:szCs w:val="14"/>
          <w:color w:val="auto"/>
        </w:rPr>
        <w:t>ConocoPhillips and the depositary may at any time agree to amend the form of depositary receipt and any provision of the deposit agreement. However, any amendment that adversely alters the rights of holders of depositary shares in any material respect will not be effective unless the amendment has been approved by the holders of at least a majority of the depositary shares then outstanding. The deposit agreement may be terminated by ConocoPhillips or by the depositary only if all outstanding depositary shares have been redeemed or if a final distribution on the underlying preferred stock has been made to the holders of the depositary shares in connection with the liquidation, dissolution or winding up of ConocoPhillips.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Charges of Depositary</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ConocoPhillips will pay all charges of the depositary, including:</w:t>
      </w:r>
    </w:p>
    <w:p>
      <w:pPr>
        <w:spacing w:after="0" w:line="113" w:lineRule="exact"/>
        <w:rPr>
          <w:sz w:val="20"/>
          <w:szCs w:val="20"/>
          <w:color w:val="auto"/>
        </w:rPr>
      </w:pPr>
    </w:p>
    <w:p>
      <w:pPr>
        <w:ind w:left="1720" w:hanging="134"/>
        <w:spacing w:after="0"/>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charges in connection with the initial deposit of the preferred stock;</w:t>
      </w:r>
    </w:p>
    <w:p>
      <w:pPr>
        <w:spacing w:after="0" w:line="11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issuance of the depositary receipts;</w:t>
      </w:r>
    </w:p>
    <w:p>
      <w:pPr>
        <w:spacing w:after="0" w:line="102"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of information to the holders of depositary receipts with respect to matters on which preferred stock is entitled to vote; and</w:t>
      </w:r>
    </w:p>
    <w:p>
      <w:pPr>
        <w:spacing w:after="0" w:line="62" w:lineRule="exact"/>
        <w:rPr>
          <w:rFonts w:ascii="Times New Roman" w:cs="Times New Roman" w:eastAsia="Times New Roman" w:hAnsi="Times New Roman"/>
          <w:sz w:val="14"/>
          <w:szCs w:val="14"/>
          <w:color w:val="auto"/>
        </w:rPr>
      </w:pPr>
    </w:p>
    <w:p>
      <w:pPr>
        <w:ind w:left="1720" w:right="1739" w:hanging="134"/>
        <w:spacing w:after="0" w:line="283" w:lineRule="auto"/>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withdrawals of the preferred stock by the holders of depositary receipts or upon redemption or conversion of the preferred stock.</w:t>
      </w:r>
    </w:p>
    <w:p>
      <w:pPr>
        <w:spacing w:after="0" w:line="62" w:lineRule="exact"/>
        <w:rPr>
          <w:sz w:val="20"/>
          <w:szCs w:val="20"/>
          <w:color w:val="auto"/>
        </w:rPr>
      </w:pPr>
    </w:p>
    <w:p>
      <w:pPr>
        <w:ind w:left="1300" w:right="1619" w:firstLine="281"/>
        <w:spacing w:after="0" w:line="283" w:lineRule="auto"/>
        <w:rPr>
          <w:sz w:val="20"/>
          <w:szCs w:val="20"/>
          <w:color w:val="auto"/>
        </w:rPr>
      </w:pPr>
      <w:r>
        <w:rPr>
          <w:rFonts w:ascii="Times New Roman" w:cs="Times New Roman" w:eastAsia="Times New Roman" w:hAnsi="Times New Roman"/>
          <w:sz w:val="14"/>
          <w:szCs w:val="14"/>
          <w:color w:val="auto"/>
        </w:rPr>
        <w:t>Holders of depositary shares will pay taxes (including any transfer taxes) and other governmental charges and any other charges expressly provided in the deposit agreement to be at the expense of those holders.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125" w:lineRule="exact"/>
        <w:rPr>
          <w:sz w:val="20"/>
          <w:szCs w:val="20"/>
          <w:color w:val="auto"/>
        </w:rPr>
      </w:pPr>
    </w:p>
    <w:p>
      <w:pPr>
        <w:ind w:left="1300" w:right="1479" w:firstLine="281"/>
        <w:spacing w:after="0" w:line="259" w:lineRule="auto"/>
        <w:rPr>
          <w:sz w:val="20"/>
          <w:szCs w:val="20"/>
          <w:color w:val="auto"/>
        </w:rPr>
      </w:pPr>
      <w:r>
        <w:rPr>
          <w:rFonts w:ascii="Times New Roman" w:cs="Times New Roman" w:eastAsia="Times New Roman" w:hAnsi="Times New Roman"/>
          <w:sz w:val="14"/>
          <w:szCs w:val="14"/>
          <w:color w:val="auto"/>
        </w:rPr>
        <w:t>The depositary may at any time resign or be removed by ConocoPhillips. Any resignation or removal will become effective upon the acceptance by the depositary’s successor of its appointment. If ConocoPhillips has not appointed a successor depositary and the successor depositary has not accepted its appointment within 60 days after the depositary delivered a resignation notice to ConocoPhillips, the depositary may terminate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STOCK PURCHASE CONTRACTS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STOCK PURCHASE UNITS</w:t>
      </w:r>
    </w:p>
    <w:p>
      <w:pPr>
        <w:spacing w:after="0" w:line="108" w:lineRule="exact"/>
        <w:rPr>
          <w:sz w:val="20"/>
          <w:szCs w:val="20"/>
          <w:color w:val="auto"/>
        </w:rPr>
      </w:pPr>
    </w:p>
    <w:p>
      <w:pPr>
        <w:ind w:left="1300" w:right="1419" w:firstLine="281"/>
        <w:spacing w:after="0" w:line="256" w:lineRule="auto"/>
        <w:rPr>
          <w:sz w:val="20"/>
          <w:szCs w:val="20"/>
          <w:color w:val="auto"/>
        </w:rPr>
      </w:pPr>
      <w:r>
        <w:rPr>
          <w:rFonts w:ascii="Times New Roman" w:cs="Times New Roman" w:eastAsia="Times New Roman" w:hAnsi="Times New Roman"/>
          <w:sz w:val="14"/>
          <w:szCs w:val="14"/>
          <w:color w:val="auto"/>
        </w:rPr>
        <w:t>ConocoPhillips may issue stock purchase contracts, including contracts obligating holders to purchase from ConocoPhillips, and ConocoPhillips to sell to the holders, or for ConocoPhillips to issue in exchange for other securities, a specified number of shares of ConocoPhillips common stock or preferred stock or depositary shares (or a range of numbers of shares in accordance with a predetermined formula) at a future date or dates or upon the occurrence of specified events. The price per share of common stock or preferred stock or depositary share may be fixed at the time the stock purchase contracts are issued or may be determined by reference to a specific formula set forth in the stock purchase contracts.</w:t>
      </w:r>
    </w:p>
    <w:p>
      <w:pPr>
        <w:spacing w:after="0" w:line="92" w:lineRule="exact"/>
        <w:rPr>
          <w:sz w:val="20"/>
          <w:szCs w:val="20"/>
          <w:color w:val="auto"/>
        </w:rPr>
      </w:pPr>
    </w:p>
    <w:p>
      <w:pPr>
        <w:jc w:val="both"/>
        <w:ind w:left="1300" w:right="1439" w:firstLine="281"/>
        <w:spacing w:after="0" w:line="258" w:lineRule="auto"/>
        <w:rPr>
          <w:sz w:val="20"/>
          <w:szCs w:val="20"/>
          <w:color w:val="auto"/>
        </w:rPr>
      </w:pPr>
      <w:r>
        <w:rPr>
          <w:rFonts w:ascii="Times New Roman" w:cs="Times New Roman" w:eastAsia="Times New Roman" w:hAnsi="Times New Roman"/>
          <w:sz w:val="14"/>
          <w:szCs w:val="14"/>
          <w:color w:val="auto"/>
        </w:rPr>
        <w:t>ConocoPhillips may issue the stock purchase contracts separately or as a part of units, often known as stock purchase units, consisting of a stock purchase contract and any combination of senior debt securities or subordinated debt securities of ConocoPhillips or debt obligations of third parties, including U.S.</w:t>
      </w:r>
    </w:p>
    <w:p>
      <w:pPr>
        <w:ind w:left="1300" w:right="1319"/>
        <w:spacing w:after="0" w:line="261" w:lineRule="auto"/>
        <w:rPr>
          <w:sz w:val="20"/>
          <w:szCs w:val="20"/>
          <w:color w:val="auto"/>
        </w:rPr>
      </w:pPr>
      <w:r>
        <w:rPr>
          <w:rFonts w:ascii="Times New Roman" w:cs="Times New Roman" w:eastAsia="Times New Roman" w:hAnsi="Times New Roman"/>
          <w:sz w:val="14"/>
          <w:szCs w:val="14"/>
          <w:color w:val="auto"/>
        </w:rPr>
        <w:t>Treasury securities, securing the holder’s obligations to purchase the common stock or preferred stock under the stock purchase contracts.</w:t>
      </w:r>
    </w:p>
    <w:p>
      <w:pPr>
        <w:spacing w:after="0" w:line="77" w:lineRule="exact"/>
        <w:rPr>
          <w:sz w:val="20"/>
          <w:szCs w:val="20"/>
          <w:color w:val="auto"/>
        </w:rPr>
      </w:pPr>
    </w:p>
    <w:p>
      <w:pPr>
        <w:ind w:left="1300" w:right="1419" w:firstLine="281"/>
        <w:spacing w:after="0" w:line="257" w:lineRule="auto"/>
        <w:rPr>
          <w:sz w:val="20"/>
          <w:szCs w:val="20"/>
          <w:color w:val="auto"/>
        </w:rPr>
      </w:pPr>
      <w:r>
        <w:rPr>
          <w:rFonts w:ascii="Times New Roman" w:cs="Times New Roman" w:eastAsia="Times New Roman" w:hAnsi="Times New Roman"/>
          <w:sz w:val="14"/>
          <w:szCs w:val="14"/>
          <w:color w:val="auto"/>
        </w:rPr>
        <w:t>The stock purchase contracts may require ConocoPhillips to make periodic payments to the holders of the stock purchase units or vice versa, and those payments may be unsecured or prefunded on some basis. The stock purchase contracts may require holders to secure their obligations in a specified manner, and in specified circumstances, ConocoPhillips may deliver newly issued prepaid stock purchase contracts, often known as prepaid securities, upon release to a holder of any collateral securing that holder’s obligations under the original stock purchase contract.</w:t>
      </w:r>
    </w:p>
    <w:p>
      <w:pPr>
        <w:spacing w:after="0" w:line="92" w:lineRule="exact"/>
        <w:rPr>
          <w:sz w:val="20"/>
          <w:szCs w:val="20"/>
          <w:color w:val="auto"/>
        </w:rPr>
      </w:pPr>
    </w:p>
    <w:p>
      <w:pPr>
        <w:ind w:left="1300" w:right="1379" w:firstLine="281"/>
        <w:spacing w:after="0" w:line="256"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any stock purchase contracts or stock purchase units and, if applicable, prepaid securities. That description will not be complete. For more information, you should review the stock purchase contracts and, if applicable, the collateral arrangements and depositary arrangements relating to those stock purchase contracts or stock purchase units and any prepaid securities and the document under which the prepaid securities will be issued. We will file forms of these documents with the SEC before ConocoPhillips issues any stock purchase contracts or stock purchase units and, if applicable, prepaid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419" w:firstLine="281"/>
        <w:spacing w:after="0" w:line="299" w:lineRule="auto"/>
        <w:rPr>
          <w:sz w:val="20"/>
          <w:szCs w:val="20"/>
          <w:color w:val="auto"/>
        </w:rPr>
      </w:pPr>
      <w:r>
        <w:rPr>
          <w:rFonts w:ascii="Times New Roman" w:cs="Times New Roman" w:eastAsia="Times New Roman" w:hAnsi="Times New Roman"/>
          <w:sz w:val="14"/>
          <w:szCs w:val="14"/>
          <w:color w:val="auto"/>
        </w:rPr>
        <w:t>We may sell the securities in and outside the United States through underwriters or dealers, directly to purchasers or through agents.</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25" w:lineRule="exact"/>
        <w:rPr>
          <w:sz w:val="20"/>
          <w:szCs w:val="20"/>
          <w:color w:val="auto"/>
        </w:rPr>
      </w:pPr>
    </w:p>
    <w:p>
      <w:pPr>
        <w:jc w:val="both"/>
        <w:ind w:left="1300" w:right="1339" w:firstLine="281"/>
        <w:spacing w:after="0" w:line="263" w:lineRule="auto"/>
        <w:rPr>
          <w:sz w:val="20"/>
          <w:szCs w:val="20"/>
          <w:color w:val="auto"/>
        </w:rPr>
      </w:pPr>
      <w:r>
        <w:rPr>
          <w:rFonts w:ascii="Times New Roman" w:cs="Times New Roman" w:eastAsia="Times New Roman" w:hAnsi="Times New Roman"/>
          <w:sz w:val="14"/>
          <w:szCs w:val="14"/>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w:t>
      </w:r>
    </w:p>
    <w:p>
      <w:pPr>
        <w:spacing w:after="0" w:line="1" w:lineRule="exact"/>
        <w:rPr>
          <w:sz w:val="20"/>
          <w:szCs w:val="20"/>
          <w:color w:val="auto"/>
        </w:rPr>
      </w:pPr>
    </w:p>
    <w:p>
      <w:pPr>
        <w:ind w:left="1300" w:right="1319"/>
        <w:spacing w:after="0" w:line="265" w:lineRule="auto"/>
        <w:rPr>
          <w:sz w:val="20"/>
          <w:szCs w:val="20"/>
          <w:color w:val="auto"/>
        </w:rPr>
      </w:pPr>
      <w:r>
        <w:rPr>
          <w:rFonts w:ascii="Times New Roman" w:cs="Times New Roman" w:eastAsia="Times New Roman" w:hAnsi="Times New Roman"/>
          <w:sz w:val="14"/>
          <w:szCs w:val="14"/>
          <w:color w:val="auto"/>
        </w:rPr>
        <w:t>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conditions, and the underwriters will be obligated to purchase all the securities if they purchase any of them. The underwriters may change from time to time any initial public offering price and any discounts or concessions allowed or re-allowed or paid to dealers.</w:t>
      </w:r>
    </w:p>
    <w:p>
      <w:pPr>
        <w:spacing w:after="0" w:line="97" w:lineRule="exact"/>
        <w:rPr>
          <w:sz w:val="20"/>
          <w:szCs w:val="20"/>
          <w:color w:val="auto"/>
        </w:rPr>
      </w:pPr>
    </w:p>
    <w:p>
      <w:pPr>
        <w:ind w:left="1300" w:right="1359" w:firstLine="281"/>
        <w:spacing w:after="0" w:line="265" w:lineRule="auto"/>
        <w:rPr>
          <w:sz w:val="20"/>
          <w:szCs w:val="20"/>
          <w:color w:val="auto"/>
        </w:rPr>
      </w:pPr>
      <w:r>
        <w:rPr>
          <w:rFonts w:ascii="Times New Roman" w:cs="Times New Roman" w:eastAsia="Times New Roman" w:hAnsi="Times New Roman"/>
          <w:sz w:val="14"/>
          <w:szCs w:val="14"/>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whereby selling concessions allowed to syndicate members or other broker-dealers for the offered securities sold for their account may be reclaimed by the syndicate if such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these activities may be discontinued at any time.</w:t>
      </w:r>
    </w:p>
    <w:p>
      <w:pPr>
        <w:spacing w:after="0" w:line="261" w:lineRule="exact"/>
        <w:rPr>
          <w:sz w:val="20"/>
          <w:szCs w:val="20"/>
          <w:color w:val="auto"/>
        </w:rPr>
      </w:pPr>
    </w:p>
    <w:p>
      <w:pPr>
        <w:ind w:left="1300" w:right="1379" w:firstLine="281"/>
        <w:spacing w:after="0" w:line="266" w:lineRule="auto"/>
        <w:rPr>
          <w:sz w:val="20"/>
          <w:szCs w:val="20"/>
          <w:color w:val="auto"/>
        </w:rPr>
      </w:pPr>
      <w:r>
        <w:rPr>
          <w:rFonts w:ascii="Times New Roman" w:cs="Times New Roman" w:eastAsia="Times New Roman" w:hAnsi="Times New Roman"/>
          <w:sz w:val="14"/>
          <w:szCs w:val="14"/>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those securities. We will include in the prospectus supplement the names of the dealers and the terms of the transaction, including any compensation from sales of securities in the form of underwriting discounts or commissions.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25" w:lineRule="exact"/>
        <w:rPr>
          <w:sz w:val="20"/>
          <w:szCs w:val="20"/>
          <w:color w:val="auto"/>
        </w:rPr>
      </w:pPr>
    </w:p>
    <w:p>
      <w:pPr>
        <w:ind w:left="1300" w:right="1319" w:firstLine="281"/>
        <w:spacing w:after="0" w:line="267" w:lineRule="auto"/>
        <w:rPr>
          <w:sz w:val="20"/>
          <w:szCs w:val="20"/>
          <w:color w:val="auto"/>
        </w:rPr>
      </w:pPr>
      <w:r>
        <w:rPr>
          <w:rFonts w:ascii="Times New Roman" w:cs="Times New Roman" w:eastAsia="Times New Roman" w:hAnsi="Times New Roman"/>
          <w:sz w:val="14"/>
          <w:szCs w:val="14"/>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94" w:lineRule="exact"/>
        <w:rPr>
          <w:sz w:val="20"/>
          <w:szCs w:val="20"/>
          <w:color w:val="auto"/>
        </w:rPr>
      </w:pPr>
    </w:p>
    <w:p>
      <w:pPr>
        <w:ind w:left="1300" w:right="1499" w:firstLine="281"/>
        <w:spacing w:after="0" w:line="275" w:lineRule="auto"/>
        <w:rPr>
          <w:sz w:val="20"/>
          <w:szCs w:val="20"/>
          <w:color w:val="auto"/>
        </w:rPr>
      </w:pPr>
      <w:r>
        <w:rPr>
          <w:rFonts w:ascii="Times New Roman" w:cs="Times New Roman" w:eastAsia="Times New Roman" w:hAnsi="Times New Roman"/>
          <w:sz w:val="14"/>
          <w:szCs w:val="14"/>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15" w:lineRule="exact"/>
        <w:rPr>
          <w:sz w:val="20"/>
          <w:szCs w:val="20"/>
          <w:color w:val="auto"/>
        </w:rPr>
      </w:pPr>
    </w:p>
    <w:p>
      <w:pPr>
        <w:ind w:left="1300" w:right="1539" w:firstLine="281"/>
        <w:spacing w:after="0" w:line="271" w:lineRule="auto"/>
        <w:rPr>
          <w:sz w:val="20"/>
          <w:szCs w:val="20"/>
          <w:color w:val="auto"/>
        </w:rPr>
      </w:pPr>
      <w:r>
        <w:rPr>
          <w:rFonts w:ascii="Times New Roman" w:cs="Times New Roman" w:eastAsia="Times New Roman" w:hAnsi="Times New Roman"/>
          <w:sz w:val="14"/>
          <w:szCs w:val="14"/>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25" w:lineRule="exact"/>
        <w:rPr>
          <w:sz w:val="20"/>
          <w:szCs w:val="20"/>
          <w:color w:val="auto"/>
        </w:rPr>
      </w:pPr>
    </w:p>
    <w:p>
      <w:pPr>
        <w:ind w:left="1300" w:right="1499" w:firstLine="281"/>
        <w:spacing w:after="0" w:line="261" w:lineRule="auto"/>
        <w:rPr>
          <w:sz w:val="20"/>
          <w:szCs w:val="20"/>
          <w:color w:val="auto"/>
        </w:rPr>
      </w:pPr>
      <w:r>
        <w:rPr>
          <w:rFonts w:ascii="Times New Roman" w:cs="Times New Roman" w:eastAsia="Times New Roman" w:hAnsi="Times New Roman"/>
          <w:sz w:val="14"/>
          <w:szCs w:val="14"/>
          <w:color w:val="auto"/>
        </w:rPr>
        <w:t>We may have agreements with the agents, dealers and underwriters to indemnify them against civil liabilities, including liabilities under the Securities Act, or to contribute with respect to payments that the agents, dealers or underwriters may be required to make. Agents, dealers and underwriters may engage in transactions with us or perform services for us in the ordinary course of their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The validity of the securities offered by ConocoPhillips and CPCo will be passed upon for us by King &amp; Spalding LLP, Atlanta, Georgia. Any underwriters will be advised about legal matters relating to any offering by their own legal counsel.</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459" w:firstLine="281"/>
        <w:spacing w:after="0" w:line="256" w:lineRule="auto"/>
        <w:rPr>
          <w:rFonts w:ascii="Times New Roman" w:cs="Times New Roman" w:eastAsia="Times New Roman" w:hAnsi="Times New Roman"/>
          <w:sz w:val="14"/>
          <w:szCs w:val="14"/>
          <w:color w:val="0000EE"/>
        </w:rPr>
      </w:pPr>
      <w:hyperlink r:id="rId31">
        <w:r>
          <w:rPr>
            <w:rFonts w:ascii="Times New Roman" w:cs="Times New Roman" w:eastAsia="Times New Roman" w:hAnsi="Times New Roman"/>
            <w:sz w:val="14"/>
            <w:szCs w:val="14"/>
            <w:color w:val="auto"/>
          </w:rPr>
          <w:t xml:space="preserve">The consolidated financial statements of ConocoPhillips appearing in ConocoPhillips’ </w:t>
        </w:r>
        <w:r>
          <w:rPr>
            <w:rFonts w:ascii="Times New Roman" w:cs="Times New Roman" w:eastAsia="Times New Roman" w:hAnsi="Times New Roman"/>
            <w:sz w:val="14"/>
            <w:szCs w:val="14"/>
            <w:u w:val="single" w:color="auto"/>
            <w:color w:val="0000EE"/>
          </w:rPr>
          <w:t>Annual Report</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EE"/>
          </w:rPr>
          <w:t>on Form 10-K for the year ended December 31,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the effectiveness of ConocoPhillips’ internal</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53" w:lineRule="exact"/>
        <w:rPr>
          <w:sz w:val="20"/>
          <w:szCs w:val="20"/>
          <w:color w:val="auto"/>
        </w:rPr>
      </w:pPr>
    </w:p>
    <w:p>
      <w:pPr>
        <w:ind w:left="1300" w:right="1479" w:firstLine="281"/>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DeGolyer and MacNaughton, an independent petroleum engineering consulting firm, performed a process review of the processes and controls used within ConocoPhillips in its preparation of proved reserves estimates as of December 31, 2025. This process review report appeared as an exhibit to ConocoPhillips’ </w:t>
      </w:r>
      <w:hyperlink r:id="rId31">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is incorporated by reference herein in reliance on the authority of such firm as experts in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3"/>
          <w:szCs w:val="13"/>
          <w:b w:val="1"/>
          <w:bCs w:val="1"/>
          <w:color w:val="auto"/>
        </w:rPr>
        <w:t>Other Expenses of Issuance and Distribution</w:t>
      </w:r>
    </w:p>
    <w:p>
      <w:pPr>
        <w:spacing w:after="0" w:line="125"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The following table sets forth expenses payable by ConocoPhillips in connection with the issuance and distribution of the securities being registered. All the amounts shown are estimates.</w:t>
      </w:r>
    </w:p>
    <w:p>
      <w:pPr>
        <w:spacing w:after="0" w:line="93" w:lineRule="exact"/>
        <w:rPr>
          <w:sz w:val="20"/>
          <w:szCs w:val="20"/>
          <w:color w:val="auto"/>
        </w:rPr>
      </w:pPr>
    </w:p>
    <w:tbl>
      <w:tblPr>
        <w:tblLayout w:type="fixed"/>
        <w:tblInd w:w="1580" w:type="dxa"/>
        <w:tblCellMar>
          <w:top w:w="0" w:type="dxa"/>
          <w:left w:w="0" w:type="dxa"/>
          <w:bottom w:w="0" w:type="dxa"/>
          <w:right w:w="0" w:type="dxa"/>
        </w:tblCellMar>
      </w:tblPr>
      <w:tr>
        <w:trPr>
          <w:trHeight w:val="25"/>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​SEC registration fees</w:t>
            </w:r>
          </w:p>
        </w:tc>
        <w:tc>
          <w:tcPr>
            <w:tcW w:w="600" w:type="dxa"/>
            <w:vAlign w:val="bottom"/>
            <w:gridSpan w:val="3"/>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Printing expenses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r>
              <w:rPr>
                <w:rFonts w:ascii="Times New Roman" w:cs="Times New Roman" w:eastAsia="Times New Roman" w:hAnsi="Times New Roman"/>
                <w:sz w:val="11"/>
                <w:szCs w:val="11"/>
                <w:b w:val="1"/>
                <w:bCs w:val="1"/>
                <w:color w:val="auto"/>
                <w:w w:val="71"/>
              </w:rPr>
              <w:t>​</w:t>
            </w:r>
          </w:p>
        </w:tc>
        <w:tc>
          <w:tcPr>
            <w:tcW w:w="0" w:type="dxa"/>
            <w:vAlign w:val="bottom"/>
          </w:tcPr>
          <w:p>
            <w:pPr>
              <w:spacing w:after="0"/>
              <w:rPr>
                <w:sz w:val="1"/>
                <w:szCs w:val="1"/>
                <w:color w:val="auto"/>
              </w:rPr>
            </w:pPr>
          </w:p>
        </w:tc>
      </w:tr>
      <w:tr>
        <w:trPr>
          <w:trHeight w:val="42"/>
        </w:trPr>
        <w:tc>
          <w:tcPr>
            <w:tcW w:w="5240" w:type="dxa"/>
            <w:vAlign w:val="bottom"/>
            <w:gridSpan w:val="2"/>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Legal fees and expenses</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r>
              <w:rPr>
                <w:rFonts w:ascii="Times New Roman" w:cs="Times New Roman" w:eastAsia="Times New Roman" w:hAnsi="Times New Roman"/>
                <w:sz w:val="11"/>
                <w:szCs w:val="11"/>
                <w:b w:val="1"/>
                <w:bCs w:val="1"/>
                <w:color w:val="auto"/>
                <w:w w:val="71"/>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22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2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Accounting fees and expenses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r>
              <w:rPr>
                <w:rFonts w:ascii="Times New Roman" w:cs="Times New Roman" w:eastAsia="Times New Roman" w:hAnsi="Times New Roman"/>
                <w:sz w:val="11"/>
                <w:szCs w:val="11"/>
                <w:b w:val="1"/>
                <w:bCs w:val="1"/>
                <w:color w:val="auto"/>
                <w:w w:val="71"/>
              </w:rPr>
              <w:t>​</w:t>
            </w:r>
          </w:p>
        </w:tc>
        <w:tc>
          <w:tcPr>
            <w:tcW w:w="0" w:type="dxa"/>
            <w:vAlign w:val="bottom"/>
          </w:tcPr>
          <w:p>
            <w:pPr>
              <w:spacing w:after="0"/>
              <w:rPr>
                <w:sz w:val="1"/>
                <w:szCs w:val="1"/>
                <w:color w:val="auto"/>
              </w:rPr>
            </w:pPr>
          </w:p>
        </w:tc>
      </w:tr>
      <w:tr>
        <w:trPr>
          <w:trHeight w:val="42"/>
        </w:trPr>
        <w:tc>
          <w:tcPr>
            <w:tcW w:w="5240" w:type="dxa"/>
            <w:vAlign w:val="bottom"/>
            <w:gridSpan w:val="2"/>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and expenses of trustee and counsel</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r>
              <w:rPr>
                <w:rFonts w:ascii="Times New Roman" w:cs="Times New Roman" w:eastAsia="Times New Roman" w:hAnsi="Times New Roman"/>
                <w:sz w:val="11"/>
                <w:szCs w:val="11"/>
                <w:b w:val="1"/>
                <w:bCs w:val="1"/>
                <w:color w:val="auto"/>
                <w:w w:val="71"/>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22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r>
              <w:rPr>
                <w:rFonts w:ascii="Times New Roman" w:cs="Times New Roman" w:eastAsia="Times New Roman" w:hAnsi="Times New Roman"/>
                <w:sz w:val="11"/>
                <w:szCs w:val="11"/>
                <w:b w:val="1"/>
                <w:bCs w:val="1"/>
                <w:color w:val="auto"/>
                <w:w w:val="71"/>
              </w:rPr>
              <w:t>​</w:t>
            </w:r>
          </w:p>
        </w:tc>
        <w:tc>
          <w:tcPr>
            <w:tcW w:w="0" w:type="dxa"/>
            <w:vAlign w:val="bottom"/>
          </w:tcPr>
          <w:p>
            <w:pPr>
              <w:spacing w:after="0"/>
              <w:rPr>
                <w:sz w:val="1"/>
                <w:szCs w:val="1"/>
                <w:color w:val="auto"/>
              </w:rPr>
            </w:pPr>
          </w:p>
        </w:tc>
      </w:tr>
      <w:tr>
        <w:trPr>
          <w:trHeight w:val="42"/>
        </w:trPr>
        <w:tc>
          <w:tcPr>
            <w:tcW w:w="5240" w:type="dxa"/>
            <w:vAlign w:val="bottom"/>
            <w:gridSpan w:val="2"/>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w w:val="74"/>
                <w:vertAlign w:val="superscript"/>
              </w:rPr>
              <w:t>†</w:t>
            </w:r>
            <w:r>
              <w:rPr>
                <w:rFonts w:ascii="Times New Roman" w:cs="Times New Roman" w:eastAsia="Times New Roman" w:hAnsi="Times New Roman"/>
                <w:sz w:val="10"/>
                <w:szCs w:val="10"/>
                <w:color w:val="auto"/>
                <w:w w:val="74"/>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20" w:type="dxa"/>
            <w:vAlign w:val="bottom"/>
            <w:tcBorders>
              <w:bottom w:val="single" w:sz="8" w:color="CCEEFF"/>
            </w:tcBorders>
            <w:shd w:val="clear" w:color="auto" w:fill="CCEEFF"/>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auto"/>
            </w:tcBorders>
            <w:shd w:val="clear" w:color="auto" w:fill="CCEEFF"/>
          </w:tcPr>
          <w:p>
            <w:pPr>
              <w:spacing w:after="0"/>
              <w:rPr>
                <w:sz w:val="4"/>
                <w:szCs w:val="4"/>
                <w:color w:val="auto"/>
              </w:rPr>
            </w:pPr>
          </w:p>
        </w:tc>
        <w:tc>
          <w:tcPr>
            <w:tcW w:w="200" w:type="dxa"/>
            <w:vAlign w:val="bottom"/>
            <w:tcBorders>
              <w:bottom w:val="single" w:sz="8" w:color="auto"/>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8"/>
        </w:trPr>
        <w:tc>
          <w:tcPr>
            <w:tcW w:w="5240" w:type="dxa"/>
            <w:vAlign w:val="bottom"/>
            <w:gridSpan w:val="2"/>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Total</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71"/>
                <w:vertAlign w:val="subscript"/>
              </w:rPr>
              <w:t>​</w:t>
            </w:r>
            <w:r>
              <w:rPr>
                <w:rFonts w:ascii="Times New Roman" w:cs="Times New Roman" w:eastAsia="Times New Roman" w:hAnsi="Times New Roman"/>
                <w:sz w:val="11"/>
                <w:szCs w:val="11"/>
                <w:color w:val="auto"/>
                <w:w w:val="7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-10795</wp:posOffset>
            </wp:positionV>
            <wp:extent cx="9620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53" w:lineRule="exact"/>
        <w:rPr>
          <w:sz w:val="20"/>
          <w:szCs w:val="20"/>
          <w:color w:val="auto"/>
        </w:rPr>
      </w:pPr>
    </w:p>
    <w:p>
      <w:pPr>
        <w:ind w:left="1580" w:right="1379" w:hanging="275"/>
        <w:spacing w:after="0" w:line="282" w:lineRule="auto"/>
        <w:tabs>
          <w:tab w:leader="none" w:pos="15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SEC registration fees have been deferred in accordance with Rules 456(b) and 457(r) of the Securities Act and are not estimable at this time.</w:t>
      </w:r>
    </w:p>
    <w:p>
      <w:pPr>
        <w:ind w:left="1580" w:right="1359" w:hanging="275"/>
        <w:spacing w:after="0" w:line="259" w:lineRule="auto"/>
        <w:tabs>
          <w:tab w:leader="none" w:pos="15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are not presently known. The foregoing sets forth the general categories of expenses (other than underwriting discounts and commissions) that ConocoPhillips anticipates it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2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3"/>
          <w:szCs w:val="13"/>
          <w:b w:val="1"/>
          <w:bCs w:val="1"/>
          <w:color w:val="auto"/>
        </w:rPr>
        <w:t>Indemnification of Directors and Officers</w:t>
      </w:r>
    </w:p>
    <w:p>
      <w:pPr>
        <w:spacing w:after="0" w:line="115" w:lineRule="exact"/>
        <w:rPr>
          <w:sz w:val="20"/>
          <w:szCs w:val="20"/>
          <w:color w:val="auto"/>
        </w:rPr>
      </w:pPr>
    </w:p>
    <w:p>
      <w:pPr>
        <w:ind w:left="1300" w:right="1419" w:firstLine="281"/>
        <w:spacing w:after="0" w:line="245" w:lineRule="auto"/>
        <w:rPr>
          <w:sz w:val="20"/>
          <w:szCs w:val="20"/>
          <w:color w:val="auto"/>
        </w:rPr>
      </w:pPr>
      <w:r>
        <w:rPr>
          <w:rFonts w:ascii="Times New Roman" w:cs="Times New Roman" w:eastAsia="Times New Roman" w:hAnsi="Times New Roman"/>
          <w:sz w:val="14"/>
          <w:szCs w:val="14"/>
          <w:color w:val="auto"/>
        </w:rPr>
        <w:t>Delaware law permits a corporation to adopt a provision in its certificate of incorporation eliminating or limiting the personal liability of a director or officer in his or her capacity as such, to the corporation or its stockholders for monetary damages for breach of fiduciary duty as a director or officer, except that such provision shall not limit the liability of a director or officer for (1) any breach of the director’s or officer’s duty of loyalty to the corporation or its stockholders, (2) acts or omissions not in good faith or that involve intentional misconduct or a knowing violation of law, (3) liability of a director under section 174 of the Delaware General Corporation Law for unlawful payment of dividends or stock purchases or redemptions,</w:t>
      </w:r>
    </w:p>
    <w:p>
      <w:pPr>
        <w:spacing w:after="0" w:line="1" w:lineRule="exact"/>
        <w:rPr>
          <w:sz w:val="20"/>
          <w:szCs w:val="20"/>
          <w:color w:val="auto"/>
        </w:rPr>
      </w:pPr>
    </w:p>
    <w:p>
      <w:pPr>
        <w:ind w:left="1300" w:right="1399" w:firstLine="5"/>
        <w:spacing w:after="0" w:line="241" w:lineRule="auto"/>
        <w:tabs>
          <w:tab w:leader="none" w:pos="151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derived an improper personal benefit or (5) an officer in any action by or in right of the corporation. ConocoPhillips’ amended and restated certificate of incorporation provides that, to the fullest extent of Delaware law, no ConocoPhillips director shall be liable to ConocoPhillips or ConocoPhillips stockholders for monetary damages for breach of fiduciary duty as a director. The certificate of incorporation of CPCo has similar provisions with respect to its directors.</w:t>
      </w:r>
    </w:p>
    <w:p>
      <w:pPr>
        <w:spacing w:after="0" w:line="93" w:lineRule="exact"/>
        <w:rPr>
          <w:sz w:val="20"/>
          <w:szCs w:val="20"/>
          <w:color w:val="auto"/>
        </w:rPr>
      </w:pPr>
    </w:p>
    <w:p>
      <w:pPr>
        <w:ind w:left="1300" w:right="1319" w:firstLine="281"/>
        <w:spacing w:after="0" w:line="242" w:lineRule="auto"/>
        <w:rPr>
          <w:sz w:val="20"/>
          <w:szCs w:val="20"/>
          <w:color w:val="auto"/>
        </w:rPr>
      </w:pPr>
      <w:r>
        <w:rPr>
          <w:rFonts w:ascii="Times New Roman" w:cs="Times New Roman" w:eastAsia="Times New Roman" w:hAnsi="Times New Roman"/>
          <w:sz w:val="14"/>
          <w:szCs w:val="14"/>
          <w:color w:val="auto"/>
        </w:rPr>
        <w:t>Under Delaware law, a corporation may indemnify any individual made a party or threatened to be made a party to any type of proceeding, other than an action by or in the right of the corporation, because he or she is or was an officer, director, employee or agent of the corporation or was serving at the request of the corporation as an officer, director, employee or agent of another corporation or entity against expenses, judgments, fines and amounts paid in settlement actually and reasonably incurred in connection with such proceeding: (1) if he or she acted in good faith and in a manner he or she reasonably believed to be in or not opposed to the best interests of the corporation; or (2) in the case of a criminal proceeding, if he or she had no reasonable cause to believe that his or her conduct was unlawful. A corporation may indemnify any individual made a party or threatened to be made a party to any threatened, pending or completed action or suit brought by or in the right of the corporation because he or she was an officer, director, employee or agent of the corporation, or is or was serving at the request of the corporation as a director, officer, employee or agent of another corporation or other entity, against expenses actually and reasonably incurred in connection with such action or suit if he or she acted in good faith and in a manner he or she reasonably believed to be in or not opposed to the best interests of the corporation; provided that such indemnification</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244" w:lineRule="auto"/>
        <w:rPr>
          <w:sz w:val="20"/>
          <w:szCs w:val="20"/>
          <w:color w:val="auto"/>
        </w:rPr>
      </w:pPr>
      <w:r>
        <w:rPr>
          <w:rFonts w:ascii="Times New Roman" w:cs="Times New Roman" w:eastAsia="Times New Roman" w:hAnsi="Times New Roman"/>
          <w:sz w:val="14"/>
          <w:szCs w:val="14"/>
          <w:color w:val="auto"/>
        </w:rPr>
        <w:t>will be denied if the individual is found liable to the corporation unless, in such a case, the court determines the person is nonetheless entitled to indemnification for such expenses. A corporation must indemnify a present or former director or officer who successfully defends himself or herself in a proceeding to which he or she was a party because he or she was a director or officer of the corporation against expenses actually and reasonably incurred by him or her. Expenses incurred by an officer or director, or any employees or agents as deemed appropriate by the board of directors, in defending civil or criminal proceedings may be paid by the corporation in advance of the final disposition of such proceedings upon receipt of an undertaking by or on behalf of such director, officer, employee or agent to repay such amount if it shall ultimately be determined that he or she is not entitled to be indemnified by the corporation. The Delaware law regarding indemnification and expense advancement is not exclusive of any other rights which may be granted by ConocoPhillips’ amended and restated certificate of incorporation or bylaws, a vote of stockholders or disinterested directors, agreement or otherwise.</w:t>
      </w:r>
    </w:p>
    <w:p>
      <w:pPr>
        <w:spacing w:after="0" w:line="241"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Under the Delaware General Corporation Law, termination of any proceeding by conviction or upon a plea of nolo contendere or its equivalent shall not, of itself, create a presumption that such person is prohibited from being indemnified.</w:t>
      </w:r>
    </w:p>
    <w:p>
      <w:pPr>
        <w:spacing w:after="0" w:line="68"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ConocoPhillips’ bylaws provide for the indemnification and advancement of expenses of any individual made, or threatened to be made, a party to an action, suit or proceeding, whether civil, criminal, administrative or investigative, by reason of the fact that he or she is or was a director or officer of ConocoPhillips or is or was a director or officer of ConocoPhillips serving as an officer, director, employee or agent of any other enterprise at the request of ConocoPhillips to the fullest extent permitted under applicable law. CPCo’s bylaws have similar provisions. However, neither ConocoPhillips nor CPCo will indemnify a director or officer who commences any proceeding (except for proceedings to enforce rights of indemnification), unless the commencement of that proceeding was authorized or consented to by the respective company’s board of directors.</w:t>
      </w:r>
    </w:p>
    <w:p>
      <w:pPr>
        <w:spacing w:after="0" w:line="2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24" w:lineRule="exact"/>
        <w:rPr>
          <w:sz w:val="20"/>
          <w:szCs w:val="20"/>
          <w:color w:val="auto"/>
        </w:rPr>
      </w:pPr>
    </w:p>
    <w:p>
      <w:pPr>
        <w:jc w:val="right"/>
        <w:ind w:right="1299"/>
        <w:spacing w:after="0"/>
        <w:tabs>
          <w:tab w:leader="none" w:pos="3120" w:val="left"/>
        </w:tabs>
        <w:rPr>
          <w:sz w:val="20"/>
          <w:szCs w:val="20"/>
          <w:color w:val="auto"/>
        </w:rPr>
      </w:pPr>
      <w:r>
        <w:rPr>
          <w:rFonts w:ascii="Times New Roman" w:cs="Times New Roman" w:eastAsia="Times New Roman" w:hAnsi="Times New Roman"/>
          <w:sz w:val="22"/>
          <w:szCs w:val="22"/>
          <w:b w:val="1"/>
          <w:bCs w:val="1"/>
          <w:u w:val="single" w:color="auto"/>
          <w:color w:val="auto"/>
          <w:vertAlign w:val="subscript"/>
        </w:rPr>
        <w:t>​</w:t>
      </w:r>
      <w:r>
        <w:rPr>
          <w:rFonts w:ascii="Times New Roman" w:cs="Times New Roman" w:eastAsia="Times New Roman" w:hAnsi="Times New Roman"/>
          <w:sz w:val="11"/>
          <w:szCs w:val="11"/>
          <w:b w:val="1"/>
          <w:bCs w:val="1"/>
          <w:u w:val="single" w:color="auto"/>
          <w:color w:val="auto"/>
        </w:rPr>
        <w:t>Exhibit No.</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 xml:space="preserve"> </w:t>
      </w:r>
      <w:r>
        <w:rPr>
          <w:rFonts w:ascii="Times New Roman" w:cs="Times New Roman" w:eastAsia="Times New Roman" w:hAnsi="Times New Roman"/>
          <w:sz w:val="22"/>
          <w:szCs w:val="22"/>
          <w:b w:val="1"/>
          <w:bCs w:val="1"/>
          <w:color w:val="auto"/>
          <w:vertAlign w:val="subscript"/>
        </w:rPr>
        <w:t>​</w:t>
      </w:r>
    </w:p>
    <w:p>
      <w:pPr>
        <w:sectPr>
          <w:pgSz w:w="11900" w:h="16838" w:orient="portrait"/>
          <w:cols w:equalWidth="0" w:num="1">
            <w:col w:w="9019"/>
          </w:cols>
          <w:pgMar w:left="1440" w:top="107" w:right="1440" w:bottom="1440" w:gutter="0" w:footer="0" w:header="0"/>
        </w:sectPr>
      </w:pPr>
    </w:p>
    <w:p>
      <w:pPr>
        <w:spacing w:after="0" w:line="59" w:lineRule="exact"/>
        <w:rPr>
          <w:sz w:val="20"/>
          <w:szCs w:val="20"/>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3.1.1</w:t>
      </w:r>
    </w:p>
    <w:p>
      <w:pPr>
        <w:spacing w:after="0" w:line="365"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3.1.2</w:t>
      </w:r>
    </w:p>
    <w:p>
      <w:pPr>
        <w:spacing w:after="0" w:line="365"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365"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8"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3.3.2</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70"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00" w:type="dxa"/>
            <w:vAlign w:val="bottom"/>
            <w:tcBorders>
              <w:right w:val="single" w:sz="8" w:color="auto"/>
            </w:tcBorders>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5860" w:type="dxa"/>
            <w:vAlign w:val="bottom"/>
            <w:gridSpan w:val="6"/>
          </w:tcPr>
          <w:p>
            <w:pPr>
              <w:spacing w:after="0" w:line="129"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0">
              <w:r>
                <w:rPr>
                  <w:rFonts w:ascii="Times New Roman" w:cs="Times New Roman" w:eastAsia="Times New Roman" w:hAnsi="Times New Roman"/>
                  <w:sz w:val="14"/>
                  <w:szCs w:val="14"/>
                  <w:color w:val="0000EE"/>
                </w:rPr>
                <w:t>Amended and Restated Certificate of Incorporation of ConocoPhillips (incorporated by</w:t>
              </w:r>
            </w:hyperlink>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00" w:type="dxa"/>
            <w:vAlign w:val="bottom"/>
          </w:tcPr>
          <w:p>
            <w:pPr>
              <w:spacing w:after="0"/>
              <w:rPr>
                <w:sz w:val="12"/>
                <w:szCs w:val="12"/>
                <w:color w:val="auto"/>
              </w:rPr>
            </w:pPr>
          </w:p>
        </w:tc>
        <w:tc>
          <w:tcPr>
            <w:tcW w:w="524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reference to Exhibit 3.1 to the Quarterly Report on Form 10-Q of ConocoPhillips filed on</w:t>
              </w:r>
            </w:hyperlink>
          </w:p>
        </w:tc>
        <w:tc>
          <w:tcPr>
            <w:tcW w:w="4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5660" w:type="dxa"/>
            <w:vAlign w:val="bottom"/>
            <w:gridSpan w:val="5"/>
          </w:tcPr>
          <w:p>
            <w:pPr>
              <w:spacing w:after="0" w:line="149"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July 30, 2008; SEC File No. 001-32395).</w:t>
              </w:r>
            </w:hyperlink>
          </w:p>
        </w:tc>
        <w:tc>
          <w:tcPr>
            <w:tcW w:w="2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860" w:type="dxa"/>
            <w:vAlign w:val="bottom"/>
            <w:gridSpan w:val="6"/>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1">
              <w:r>
                <w:rPr>
                  <w:rFonts w:ascii="Times New Roman" w:cs="Times New Roman" w:eastAsia="Times New Roman" w:hAnsi="Times New Roman"/>
                  <w:sz w:val="14"/>
                  <w:szCs w:val="14"/>
                  <w:color w:val="0000EE"/>
                </w:rPr>
                <w:t>Certificate of Designations of Series A Junior Participating Preferred Stock of ConocoPhillips</w:t>
              </w:r>
            </w:hyperlink>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 w:lineRule="exact"/>
        <w:rPr>
          <w:sz w:val="20"/>
          <w:szCs w:val="20"/>
          <w:color w:val="auto"/>
        </w:rPr>
      </w:pPr>
    </w:p>
    <w:p>
      <w:pPr>
        <w:ind w:left="180" w:right="1419"/>
        <w:spacing w:after="0" w:line="261" w:lineRule="auto"/>
        <w:rPr>
          <w:rFonts w:ascii="Times New Roman" w:cs="Times New Roman" w:eastAsia="Times New Roman" w:hAnsi="Times New Roman"/>
          <w:sz w:val="14"/>
          <w:szCs w:val="14"/>
          <w:u w:val="single" w:color="auto"/>
          <w:color w:val="0000EE"/>
        </w:rPr>
      </w:pPr>
      <w:hyperlink r:id="rId71">
        <w:r>
          <w:rPr>
            <w:rFonts w:ascii="Times New Roman" w:cs="Times New Roman" w:eastAsia="Times New Roman" w:hAnsi="Times New Roman"/>
            <w:sz w:val="14"/>
            <w:szCs w:val="14"/>
            <w:u w:val="single" w:color="auto"/>
            <w:color w:val="0000EE"/>
          </w:rPr>
          <w:t>(incorporated by reference to Exhibit 3.2 to the Current Report on Form 8-K of ConocoPhillips</w:t>
        </w:r>
      </w:hyperlink>
      <w:r>
        <w:rPr>
          <w:rFonts w:ascii="Times New Roman" w:cs="Times New Roman" w:eastAsia="Times New Roman" w:hAnsi="Times New Roman"/>
          <w:sz w:val="14"/>
          <w:szCs w:val="14"/>
          <w:u w:val="single" w:color="auto"/>
          <w:color w:val="0000EE"/>
        </w:rPr>
        <w:t xml:space="preserve"> </w:t>
      </w:r>
      <w:hyperlink r:id="rId71">
        <w:r>
          <w:rPr>
            <w:rFonts w:ascii="Times New Roman" w:cs="Times New Roman" w:eastAsia="Times New Roman" w:hAnsi="Times New Roman"/>
            <w:sz w:val="14"/>
            <w:szCs w:val="14"/>
            <w:u w:val="single" w:color="auto"/>
            <w:color w:val="0000EE"/>
          </w:rPr>
          <w:t>filed on August 30, 2002; File No. 000-49987).</w:t>
        </w:r>
      </w:hyperlink>
    </w:p>
    <w:p>
      <w:pPr>
        <w:spacing w:after="0" w:line="1" w:lineRule="exact"/>
        <w:rPr>
          <w:sz w:val="20"/>
          <w:szCs w:val="20"/>
          <w:color w:val="auto"/>
        </w:rPr>
      </w:pPr>
    </w:p>
    <w:p>
      <w:pPr>
        <w:ind w:left="180" w:right="1299" w:hanging="167"/>
        <w:spacing w:after="0" w:line="282"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2">
        <w:r>
          <w:rPr>
            <w:rFonts w:ascii="Times New Roman" w:cs="Times New Roman" w:eastAsia="Times New Roman" w:hAnsi="Times New Roman"/>
            <w:sz w:val="14"/>
            <w:szCs w:val="14"/>
            <w:u w:val="single" w:color="auto"/>
            <w:color w:val="0000EE"/>
          </w:rPr>
          <w:t>Second Amended and Restated By-Laws of ConocoPhillips, as amended and restated as of</w:t>
        </w:r>
      </w:hyperlink>
      <w:r>
        <w:rPr>
          <w:rFonts w:ascii="Times New Roman" w:cs="Times New Roman" w:eastAsia="Times New Roman" w:hAnsi="Times New Roman"/>
          <w:sz w:val="14"/>
          <w:szCs w:val="14"/>
          <w:color w:val="auto"/>
        </w:rPr>
        <w:t xml:space="preserve"> ​ </w:t>
      </w:r>
      <w:hyperlink r:id="rId72">
        <w:r>
          <w:rPr>
            <w:rFonts w:ascii="Times New Roman" w:cs="Times New Roman" w:eastAsia="Times New Roman" w:hAnsi="Times New Roman"/>
            <w:sz w:val="14"/>
            <w:szCs w:val="14"/>
            <w:u w:val="single" w:color="auto"/>
            <w:color w:val="0000EE"/>
          </w:rPr>
          <w:t>May 16, 2023 (incorporated by reference to Exhibit 3.1 to the Current Report on Form 8-K of</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ConocoPhillips filed on May 18, 2023; File No. 001-32395).</w:t>
        </w:r>
      </w:hyperlink>
    </w:p>
    <w:p>
      <w:pPr>
        <w:spacing w:after="0" w:line="148" w:lineRule="exact"/>
        <w:rPr>
          <w:rFonts w:ascii="Times New Roman" w:cs="Times New Roman" w:eastAsia="Times New Roman" w:hAnsi="Times New Roman"/>
          <w:sz w:val="14"/>
          <w:szCs w:val="14"/>
          <w:color w:val="auto"/>
        </w:rPr>
      </w:pPr>
    </w:p>
    <w:p>
      <w:pPr>
        <w:ind w:left="180" w:right="1299" w:hanging="167"/>
        <w:spacing w:after="0" w:line="258"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3">
        <w:r>
          <w:rPr>
            <w:rFonts w:ascii="Times New Roman" w:cs="Times New Roman" w:eastAsia="Times New Roman" w:hAnsi="Times New Roman"/>
            <w:sz w:val="14"/>
            <w:szCs w:val="14"/>
            <w:u w:val="single" w:color="auto"/>
            <w:color w:val="0000EE"/>
          </w:rPr>
          <w:t>Restated Certificate of Incorporation of ConocoPhillips Company (formerly known as Phillips</w:t>
        </w:r>
      </w:hyperlink>
      <w:r>
        <w:rPr>
          <w:rFonts w:ascii="Times New Roman" w:cs="Times New Roman" w:eastAsia="Times New Roman" w:hAnsi="Times New Roman"/>
          <w:sz w:val="14"/>
          <w:szCs w:val="14"/>
          <w:color w:val="auto"/>
        </w:rPr>
        <w:t xml:space="preserve"> ​ </w:t>
      </w:r>
      <w:hyperlink r:id="rId73">
        <w:r>
          <w:rPr>
            <w:rFonts w:ascii="Times New Roman" w:cs="Times New Roman" w:eastAsia="Times New Roman" w:hAnsi="Times New Roman"/>
            <w:sz w:val="14"/>
            <w:szCs w:val="14"/>
            <w:u w:val="single" w:color="auto"/>
            <w:color w:val="0000EE"/>
          </w:rPr>
          <w:t>Petroleum Company) (included as Exhibit A to the Certificate of Merger filed by Phillips</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Petroleum Company with the Secretary of State of the State of Delaware on August 30, 2002)</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(incorporated by reference to Exhibit 3.4.1 to Post-Effective Amendment No. 1 to the</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Registration Statement on Form S-3 of ConocoPhillips, ConocoPhillips Company,</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ConocoPhillips Trust I and ConocoPhillips Trust II filed on December 4, 2012; Registration</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Nos. 333-179626, 333-179626-01, 333-179626-02 and 333-179626-03).</w:t>
        </w:r>
      </w:hyperlink>
    </w:p>
    <w:p>
      <w:pPr>
        <w:spacing w:after="0" w:line="161" w:lineRule="exact"/>
        <w:rPr>
          <w:rFonts w:ascii="Times New Roman" w:cs="Times New Roman" w:eastAsia="Times New Roman" w:hAnsi="Times New Roman"/>
          <w:sz w:val="14"/>
          <w:szCs w:val="14"/>
          <w:u w:val="single" w:color="auto"/>
          <w:color w:val="0000EE"/>
        </w:rPr>
      </w:pPr>
    </w:p>
    <w:p>
      <w:pPr>
        <w:ind w:left="180" w:right="1299" w:hanging="167"/>
        <w:spacing w:after="0" w:line="260"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4">
        <w:r>
          <w:rPr>
            <w:rFonts w:ascii="Times New Roman" w:cs="Times New Roman" w:eastAsia="Times New Roman" w:hAnsi="Times New Roman"/>
            <w:sz w:val="14"/>
            <w:szCs w:val="14"/>
            <w:u w:val="single" w:color="auto"/>
            <w:color w:val="0000EE"/>
          </w:rPr>
          <w:t>Certificate of Amendment to the Restated Certificate of Incorporation of ConocoPhillips</w:t>
        </w:r>
      </w:hyperlink>
      <w:r>
        <w:rPr>
          <w:rFonts w:ascii="Times New Roman" w:cs="Times New Roman" w:eastAsia="Times New Roman" w:hAnsi="Times New Roman"/>
          <w:sz w:val="14"/>
          <w:szCs w:val="14"/>
          <w:color w:val="auto"/>
        </w:rPr>
        <w:t xml:space="preserve"> ​ </w:t>
      </w:r>
      <w:hyperlink r:id="rId74">
        <w:r>
          <w:rPr>
            <w:rFonts w:ascii="Times New Roman" w:cs="Times New Roman" w:eastAsia="Times New Roman" w:hAnsi="Times New Roman"/>
            <w:sz w:val="14"/>
            <w:szCs w:val="14"/>
            <w:u w:val="single" w:color="auto"/>
            <w:color w:val="0000EE"/>
          </w:rPr>
          <w:t>Company (formerly known as Phillips Petroleum Company) (incorporated by reference to</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Exhibit 3.4.2 to Post-Effective Amendment No. 1 to the Registration Statement on Form S-3 of</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ConocoPhillips, ConocoPhillips Company, ConocoPhillips Trust I and ConocoPhillips Trust II</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filed on December 4, 2012; Registration Nos. 333-179626, 333-179626-01, 333-179626-02 and</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333-179626-03).</w:t>
        </w:r>
      </w:hyperlink>
    </w:p>
    <w:p>
      <w:pPr>
        <w:spacing w:after="0" w:line="159" w:lineRule="exact"/>
        <w:rPr>
          <w:rFonts w:ascii="Times New Roman" w:cs="Times New Roman" w:eastAsia="Times New Roman" w:hAnsi="Times New Roman"/>
          <w:sz w:val="14"/>
          <w:szCs w:val="14"/>
          <w:u w:val="single" w:color="auto"/>
          <w:color w:val="0000EE"/>
        </w:rPr>
      </w:pPr>
    </w:p>
    <w:p>
      <w:pPr>
        <w:ind w:left="180" w:right="1299" w:hanging="167"/>
        <w:spacing w:after="0" w:line="265"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5">
        <w:r>
          <w:rPr>
            <w:rFonts w:ascii="Times New Roman" w:cs="Times New Roman" w:eastAsia="Times New Roman" w:hAnsi="Times New Roman"/>
            <w:sz w:val="14"/>
            <w:szCs w:val="14"/>
            <w:u w:val="single" w:color="auto"/>
            <w:color w:val="0000EE"/>
          </w:rPr>
          <w:t>Corrected Restated Certificate of Incorporation of ConocoPhillips Company (formerly known as</w:t>
        </w:r>
      </w:hyperlink>
      <w:r>
        <w:rPr>
          <w:rFonts w:ascii="Times New Roman" w:cs="Times New Roman" w:eastAsia="Times New Roman" w:hAnsi="Times New Roman"/>
          <w:sz w:val="14"/>
          <w:szCs w:val="14"/>
          <w:color w:val="auto"/>
        </w:rPr>
        <w:t xml:space="preserve">​ </w:t>
      </w:r>
      <w:hyperlink r:id="rId75">
        <w:r>
          <w:rPr>
            <w:rFonts w:ascii="Times New Roman" w:cs="Times New Roman" w:eastAsia="Times New Roman" w:hAnsi="Times New Roman"/>
            <w:sz w:val="14"/>
            <w:szCs w:val="14"/>
            <w:u w:val="single" w:color="auto"/>
            <w:color w:val="0000EE"/>
          </w:rPr>
          <w:t>Phillips Petroleum Company) (incorporated by reference to Exhibit 3.3 to the Registration</w:t>
        </w:r>
      </w:hyperlink>
      <w:r>
        <w:rPr>
          <w:rFonts w:ascii="Times New Roman" w:cs="Times New Roman" w:eastAsia="Times New Roman" w:hAnsi="Times New Roman"/>
          <w:sz w:val="14"/>
          <w:szCs w:val="14"/>
          <w:u w:val="single" w:color="auto"/>
          <w:color w:val="0000EE"/>
        </w:rPr>
        <w:t xml:space="preserve"> </w:t>
      </w:r>
      <w:hyperlink r:id="rId75">
        <w:r>
          <w:rPr>
            <w:rFonts w:ascii="Times New Roman" w:cs="Times New Roman" w:eastAsia="Times New Roman" w:hAnsi="Times New Roman"/>
            <w:sz w:val="14"/>
            <w:szCs w:val="14"/>
            <w:u w:val="single" w:color="auto"/>
            <w:color w:val="0000EE"/>
          </w:rPr>
          <w:t>Statement on Form S-4 of ConocoPhillips Company and ConocoPhillips filed on August 18,</w:t>
        </w:r>
      </w:hyperlink>
      <w:r>
        <w:rPr>
          <w:rFonts w:ascii="Times New Roman" w:cs="Times New Roman" w:eastAsia="Times New Roman" w:hAnsi="Times New Roman"/>
          <w:sz w:val="14"/>
          <w:szCs w:val="14"/>
          <w:u w:val="single" w:color="auto"/>
          <w:color w:val="0000EE"/>
        </w:rPr>
        <w:t xml:space="preserve"> </w:t>
      </w:r>
      <w:hyperlink r:id="rId75">
        <w:r>
          <w:rPr>
            <w:rFonts w:ascii="Times New Roman" w:cs="Times New Roman" w:eastAsia="Times New Roman" w:hAnsi="Times New Roman"/>
            <w:sz w:val="14"/>
            <w:szCs w:val="14"/>
            <w:u w:val="single" w:color="auto"/>
            <w:color w:val="0000EE"/>
          </w:rPr>
          <w:t>2022; Registration No. 333-266960).</w:t>
        </w:r>
      </w:hyperlink>
    </w:p>
    <w:p>
      <w:pPr>
        <w:spacing w:after="0" w:line="200" w:lineRule="exact"/>
        <w:rPr>
          <w:rFonts w:ascii="Times New Roman" w:cs="Times New Roman" w:eastAsia="Times New Roman" w:hAnsi="Times New Roman"/>
          <w:sz w:val="14"/>
          <w:szCs w:val="14"/>
          <w:u w:val="single" w:color="auto"/>
          <w:color w:val="0000EE"/>
        </w:rPr>
      </w:pPr>
    </w:p>
    <w:p>
      <w:pPr>
        <w:sectPr>
          <w:pgSz w:w="11900" w:h="16838" w:orient="portrait"/>
          <w:cols w:equalWidth="0" w:num="2">
            <w:col w:w="1660" w:space="180"/>
            <w:col w:w="7179"/>
          </w:cols>
          <w:pgMar w:left="1440" w:top="107" w:right="1440" w:bottom="1440" w:gutter="0" w:footer="0" w:header="0"/>
          <w:type w:val="continuous"/>
        </w:sectPr>
      </w:pPr>
    </w:p>
    <w:p>
      <w:pPr>
        <w:spacing w:after="0" w:line="74"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5" w:name="page36"/>
    <w:bookmarkEnd w:id="3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18" w:lineRule="exact"/>
        <w:rPr>
          <w:sz w:val="20"/>
          <w:szCs w:val="20"/>
          <w:color w:val="auto"/>
        </w:rPr>
      </w:pPr>
    </w:p>
    <w:p>
      <w:pPr>
        <w:jc w:val="right"/>
        <w:ind w:right="1299"/>
        <w:spacing w:after="0"/>
        <w:tabs>
          <w:tab w:leader="none" w:pos="3120" w:val="left"/>
        </w:tabs>
        <w:rPr>
          <w:sz w:val="20"/>
          <w:szCs w:val="20"/>
          <w:color w:val="auto"/>
        </w:rPr>
      </w:pPr>
      <w:r>
        <w:rPr>
          <w:rFonts w:ascii="Times New Roman" w:cs="Times New Roman" w:eastAsia="Times New Roman" w:hAnsi="Times New Roman"/>
          <w:sz w:val="22"/>
          <w:szCs w:val="22"/>
          <w:b w:val="1"/>
          <w:bCs w:val="1"/>
          <w:u w:val="single" w:color="auto"/>
          <w:color w:val="auto"/>
          <w:vertAlign w:val="subscript"/>
        </w:rPr>
        <w:t>​</w:t>
      </w:r>
      <w:r>
        <w:rPr>
          <w:rFonts w:ascii="Times New Roman" w:cs="Times New Roman" w:eastAsia="Times New Roman" w:hAnsi="Times New Roman"/>
          <w:sz w:val="11"/>
          <w:szCs w:val="11"/>
          <w:b w:val="1"/>
          <w:bCs w:val="1"/>
          <w:u w:val="single" w:color="auto"/>
          <w:color w:val="auto"/>
        </w:rPr>
        <w:t>Exhibit No.</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 xml:space="preserve">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26670</wp:posOffset>
            </wp:positionV>
            <wp:extent cx="360807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3608070"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59" w:lineRule="exact"/>
        <w:rPr>
          <w:sz w:val="20"/>
          <w:szCs w:val="20"/>
          <w:color w:val="auto"/>
        </w:rPr>
      </w:pPr>
    </w:p>
    <w:p>
      <w:pPr>
        <w:ind w:left="1380" w:hanging="75"/>
        <w:spacing w:after="0"/>
        <w:tabs>
          <w:tab w:leader="none" w:pos="1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2"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9"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1299" w:hanging="167"/>
        <w:spacing w:after="0" w:line="26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8">
        <w:r>
          <w:rPr>
            <w:rFonts w:ascii="Times New Roman" w:cs="Times New Roman" w:eastAsia="Times New Roman" w:hAnsi="Times New Roman"/>
            <w:sz w:val="14"/>
            <w:szCs w:val="14"/>
            <w:u w:val="single" w:color="auto"/>
            <w:color w:val="0000EE"/>
          </w:rPr>
          <w:t>Bylaws of ConocoPhillips Company (incorporated by reference to Exhibit 3.5 to Post-Effective</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78">
        <w:r>
          <w:rPr>
            <w:rFonts w:ascii="Times New Roman" w:cs="Times New Roman" w:eastAsia="Times New Roman" w:hAnsi="Times New Roman"/>
            <w:sz w:val="14"/>
            <w:szCs w:val="14"/>
            <w:u w:val="single" w:color="auto"/>
            <w:color w:val="0000EE"/>
          </w:rPr>
          <w:t>Amendment No. 1 to the Registration Statement on Form S-3 of ConocoPhillips,</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ConocoPhillips Company, ConocoPhillips Trust I and ConocoPhillips Trust II filed on</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December 4, 2012; Registration Nos. 333-179626, 333-179626-01, 333-179626-02 and 333-</w:t>
        </w:r>
      </w:hyperlink>
      <w:hyperlink r:id="rId78">
        <w:r>
          <w:rPr>
            <w:rFonts w:ascii="Times New Roman" w:cs="Times New Roman" w:eastAsia="Times New Roman" w:hAnsi="Times New Roman"/>
            <w:sz w:val="14"/>
            <w:szCs w:val="14"/>
            <w:u w:val="single" w:color="auto"/>
            <w:color w:val="0000EE"/>
          </w:rPr>
          <w:t>179626-03).</w:t>
        </w:r>
      </w:hyperlink>
    </w:p>
    <w:p>
      <w:pPr>
        <w:spacing w:after="0" w:line="157" w:lineRule="exact"/>
        <w:rPr>
          <w:rFonts w:ascii="Times New Roman" w:cs="Times New Roman" w:eastAsia="Times New Roman" w:hAnsi="Times New Roman"/>
          <w:sz w:val="14"/>
          <w:szCs w:val="14"/>
          <w:u w:val="single" w:color="auto"/>
          <w:color w:val="0000EE"/>
        </w:rPr>
      </w:pPr>
    </w:p>
    <w:p>
      <w:pPr>
        <w:ind w:right="1299" w:hanging="167"/>
        <w:spacing w:after="0" w:line="261"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9">
        <w:r>
          <w:rPr>
            <w:rFonts w:ascii="Times New Roman" w:cs="Times New Roman" w:eastAsia="Times New Roman" w:hAnsi="Times New Roman"/>
            <w:sz w:val="14"/>
            <w:szCs w:val="14"/>
            <w:u w:val="single" w:color="auto"/>
            <w:color w:val="0000EE"/>
          </w:rPr>
          <w:t>Indenture, dated as of October 9, 2002, among ConocoPhillips, as issuer, CPCo, as guarantor,</w:t>
        </w:r>
      </w:hyperlink>
      <w:r>
        <w:rPr>
          <w:rFonts w:ascii="Times New Roman" w:cs="Times New Roman" w:eastAsia="Times New Roman" w:hAnsi="Times New Roman"/>
          <w:sz w:val="14"/>
          <w:szCs w:val="14"/>
          <w:color w:val="auto"/>
        </w:rPr>
        <w:t xml:space="preserve"> ​ </w:t>
      </w:r>
      <w:hyperlink r:id="rId79">
        <w:r>
          <w:rPr>
            <w:rFonts w:ascii="Times New Roman" w:cs="Times New Roman" w:eastAsia="Times New Roman" w:hAnsi="Times New Roman"/>
            <w:sz w:val="14"/>
            <w:szCs w:val="14"/>
            <w:u w:val="single" w:color="auto"/>
            <w:color w:val="0000EE"/>
          </w:rPr>
          <w:t>and The Bank of New York Mellon Trust Company, N.A., as trustee, in respect of senior debt</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securities of ConocoPhillips (the “ConocoPhillips Senior Indenture”) (incorporated by reference</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to Exhibit 4.5 to the Registration Statement on Form S-3 of ConocoPhillips, ConocoPhillips</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Holding Company, CPCo, ConocoPhillips Trust I and ConocoPhillips Trust II filed on</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November 13, 2002; Registration Nos. 333-101187, 333-101187-01, 333-101187-02, 333-</w:t>
        </w:r>
      </w:hyperlink>
      <w:hyperlink r:id="rId79">
        <w:r>
          <w:rPr>
            <w:rFonts w:ascii="Times New Roman" w:cs="Times New Roman" w:eastAsia="Times New Roman" w:hAnsi="Times New Roman"/>
            <w:sz w:val="14"/>
            <w:szCs w:val="14"/>
            <w:u w:val="single" w:color="auto"/>
            <w:color w:val="0000EE"/>
          </w:rPr>
          <w:t>101187-03 and 333-101187-04).</w:t>
        </w:r>
      </w:hyperlink>
    </w:p>
    <w:p>
      <w:pPr>
        <w:spacing w:after="0" w:line="160" w:lineRule="exact"/>
        <w:rPr>
          <w:rFonts w:ascii="Times New Roman" w:cs="Times New Roman" w:eastAsia="Times New Roman" w:hAnsi="Times New Roman"/>
          <w:sz w:val="14"/>
          <w:szCs w:val="14"/>
          <w:u w:val="single" w:color="auto"/>
          <w:color w:val="0000EE"/>
        </w:rPr>
      </w:pPr>
    </w:p>
    <w:p>
      <w:pPr>
        <w:ind w:right="1299" w:hanging="167"/>
        <w:spacing w:after="0" w:line="260"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80">
        <w:r>
          <w:rPr>
            <w:rFonts w:ascii="Times New Roman" w:cs="Times New Roman" w:eastAsia="Times New Roman" w:hAnsi="Times New Roman"/>
            <w:sz w:val="14"/>
            <w:szCs w:val="14"/>
            <w:u w:val="single" w:color="auto"/>
            <w:color w:val="0000EE"/>
          </w:rPr>
          <w:t>Form of Indenture between ConocoPhillips and The Bank of New York Mellon Trust Company,</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80">
        <w:r>
          <w:rPr>
            <w:rFonts w:ascii="Times New Roman" w:cs="Times New Roman" w:eastAsia="Times New Roman" w:hAnsi="Times New Roman"/>
            <w:sz w:val="14"/>
            <w:szCs w:val="14"/>
            <w:u w:val="single" w:color="auto"/>
            <w:color w:val="0000EE"/>
          </w:rPr>
          <w:t>N.A., as trustee, in respect of subordinated debt securities of ConocoPhillips (the</w:t>
        </w:r>
      </w:hyperlink>
      <w:r>
        <w:rPr>
          <w:rFonts w:ascii="Times New Roman" w:cs="Times New Roman" w:eastAsia="Times New Roman" w:hAnsi="Times New Roman"/>
          <w:sz w:val="14"/>
          <w:szCs w:val="14"/>
          <w:u w:val="single" w:color="auto"/>
          <w:color w:val="0000EE"/>
        </w:rPr>
        <w:t xml:space="preserve"> </w:t>
      </w:r>
      <w:hyperlink r:id="rId80">
        <w:r>
          <w:rPr>
            <w:rFonts w:ascii="Times New Roman" w:cs="Times New Roman" w:eastAsia="Times New Roman" w:hAnsi="Times New Roman"/>
            <w:sz w:val="14"/>
            <w:szCs w:val="14"/>
            <w:u w:val="single" w:color="auto"/>
            <w:color w:val="0000EE"/>
          </w:rPr>
          <w:t>“ConocoPhillips Subordinated Indenture”) (incorporated by reference to Exhibit 4.2 to the</w:t>
        </w:r>
      </w:hyperlink>
      <w:r>
        <w:rPr>
          <w:rFonts w:ascii="Times New Roman" w:cs="Times New Roman" w:eastAsia="Times New Roman" w:hAnsi="Times New Roman"/>
          <w:sz w:val="14"/>
          <w:szCs w:val="14"/>
          <w:u w:val="single" w:color="auto"/>
          <w:color w:val="0000EE"/>
        </w:rPr>
        <w:t xml:space="preserve"> </w:t>
      </w:r>
      <w:hyperlink r:id="rId80">
        <w:r>
          <w:rPr>
            <w:rFonts w:ascii="Times New Roman" w:cs="Times New Roman" w:eastAsia="Times New Roman" w:hAnsi="Times New Roman"/>
            <w:sz w:val="14"/>
            <w:szCs w:val="14"/>
            <w:u w:val="single" w:color="auto"/>
            <w:color w:val="0000EE"/>
          </w:rPr>
          <w:t>Registration Statement on Form S-3 of ConocoPhillips and ConocoPhillips Company filed on</w:t>
        </w:r>
      </w:hyperlink>
      <w:r>
        <w:rPr>
          <w:rFonts w:ascii="Times New Roman" w:cs="Times New Roman" w:eastAsia="Times New Roman" w:hAnsi="Times New Roman"/>
          <w:sz w:val="14"/>
          <w:szCs w:val="14"/>
          <w:u w:val="single" w:color="auto"/>
          <w:color w:val="0000EE"/>
        </w:rPr>
        <w:t xml:space="preserve"> </w:t>
      </w:r>
      <w:hyperlink r:id="rId80">
        <w:r>
          <w:rPr>
            <w:rFonts w:ascii="Times New Roman" w:cs="Times New Roman" w:eastAsia="Times New Roman" w:hAnsi="Times New Roman"/>
            <w:sz w:val="14"/>
            <w:szCs w:val="14"/>
            <w:u w:val="single" w:color="auto"/>
            <w:color w:val="0000EE"/>
          </w:rPr>
          <w:t>October 6, 2017; Registration Nos. 333-220845 and 333-220845-01).</w:t>
        </w:r>
      </w:hyperlink>
    </w:p>
    <w:p>
      <w:pPr>
        <w:spacing w:after="0" w:line="1" w:lineRule="exact"/>
        <w:rPr>
          <w:rFonts w:ascii="Times New Roman" w:cs="Times New Roman" w:eastAsia="Times New Roman" w:hAnsi="Times New Roman"/>
          <w:sz w:val="14"/>
          <w:szCs w:val="14"/>
          <w:u w:val="single" w:color="auto"/>
          <w:color w:val="0000EE"/>
        </w:rPr>
      </w:pPr>
    </w:p>
    <w:p>
      <w:pPr>
        <w:sectPr>
          <w:pgSz w:w="11900" w:h="16838" w:orient="portrait"/>
          <w:cols w:equalWidth="0" w:num="2">
            <w:col w:w="1560" w:space="460"/>
            <w:col w:w="6999"/>
          </w:cols>
          <w:pgMar w:left="1440" w:top="107" w:right="1440" w:bottom="1440" w:gutter="0" w:footer="0" w:header="0"/>
          <w:type w:val="continuous"/>
        </w:sectPr>
      </w:pPr>
    </w:p>
    <w:p>
      <w:pPr>
        <w:spacing w:after="0" w:line="17" w:lineRule="exact"/>
        <w:rPr>
          <w:rFonts w:ascii="Times New Roman" w:cs="Times New Roman" w:eastAsia="Times New Roman" w:hAnsi="Times New Roman"/>
          <w:sz w:val="14"/>
          <w:szCs w:val="14"/>
          <w:u w:val="single" w:color="auto"/>
          <w:color w:val="0000EE"/>
        </w:rPr>
      </w:pPr>
    </w:p>
    <w:p>
      <w:pPr>
        <w:ind w:left="1380" w:hanging="75"/>
        <w:spacing w:after="0"/>
        <w:tabs>
          <w:tab w:leader="none" w:pos="1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2"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p>
    <w:p>
      <w:pPr>
        <w:spacing w:after="0" w:line="200" w:lineRule="exact"/>
        <w:rPr>
          <w:rFonts w:ascii="Times New Roman" w:cs="Times New Roman" w:eastAsia="Times New Roman" w:hAnsi="Times New Roman"/>
          <w:sz w:val="14"/>
          <w:szCs w:val="14"/>
          <w:color w:val="auto"/>
        </w:rPr>
      </w:pPr>
    </w:p>
    <w:p>
      <w:pPr>
        <w:spacing w:after="0" w:line="354" w:lineRule="exact"/>
        <w:rPr>
          <w:rFonts w:ascii="Times New Roman" w:cs="Times New Roman" w:eastAsia="Times New Roman" w:hAnsi="Times New Roman"/>
          <w:sz w:val="14"/>
          <w:szCs w:val="14"/>
          <w:color w:val="auto"/>
        </w:rPr>
      </w:pPr>
    </w:p>
    <w:p>
      <w:pPr>
        <w:ind w:left="1300" w:firstLine="5"/>
        <w:spacing w:after="0" w:line="183" w:lineRule="auto"/>
        <w:tabs>
          <w:tab w:leader="none" w:pos="137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23.1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23.2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23.3 ​24.1</w:t>
      </w:r>
    </w:p>
    <w:p>
      <w:pPr>
        <w:spacing w:after="0" w:line="170" w:lineRule="exact"/>
        <w:rPr>
          <w:rFonts w:ascii="Times New Roman" w:cs="Times New Roman" w:eastAsia="Times New Roman" w:hAnsi="Times New Roman"/>
          <w:sz w:val="14"/>
          <w:szCs w:val="14"/>
          <w:u w:val="single" w:color="auto"/>
          <w:color w:val="0000EE"/>
        </w:rPr>
      </w:pPr>
    </w:p>
    <w:p>
      <w:pPr>
        <w:ind w:left="1300"/>
        <w:spacing w:after="0"/>
        <w:rPr>
          <w:sz w:val="20"/>
          <w:szCs w:val="20"/>
          <w:color w:val="auto"/>
        </w:rPr>
      </w:pPr>
      <w:r>
        <w:rPr>
          <w:rFonts w:ascii="Times New Roman" w:cs="Times New Roman" w:eastAsia="Times New Roman" w:hAnsi="Times New Roman"/>
          <w:sz w:val="14"/>
          <w:szCs w:val="14"/>
          <w:color w:val="auto"/>
        </w:rPr>
        <w:t>​24.2</w:t>
      </w:r>
    </w:p>
    <w:p>
      <w:pPr>
        <w:spacing w:after="0" w:line="207" w:lineRule="exact"/>
        <w:rPr>
          <w:rFonts w:ascii="Times New Roman" w:cs="Times New Roman" w:eastAsia="Times New Roman" w:hAnsi="Times New Roman"/>
          <w:sz w:val="14"/>
          <w:szCs w:val="14"/>
          <w:u w:val="single" w:color="auto"/>
          <w:color w:val="0000EE"/>
        </w:rPr>
      </w:pPr>
    </w:p>
    <w:p>
      <w:pPr>
        <w:ind w:left="1300"/>
        <w:spacing w:after="0"/>
        <w:rPr>
          <w:sz w:val="20"/>
          <w:szCs w:val="20"/>
          <w:color w:val="auto"/>
        </w:rPr>
      </w:pPr>
      <w:r>
        <w:rPr>
          <w:rFonts w:ascii="Times New Roman" w:cs="Times New Roman" w:eastAsia="Times New Roman" w:hAnsi="Times New Roman"/>
          <w:sz w:val="14"/>
          <w:szCs w:val="14"/>
          <w:color w:val="auto"/>
        </w:rPr>
        <w:t>​25.1</w:t>
      </w:r>
    </w:p>
    <w:p>
      <w:pPr>
        <w:spacing w:after="0" w:line="376" w:lineRule="exact"/>
        <w:rPr>
          <w:rFonts w:ascii="Times New Roman" w:cs="Times New Roman" w:eastAsia="Times New Roman" w:hAnsi="Times New Roman"/>
          <w:sz w:val="14"/>
          <w:szCs w:val="14"/>
          <w:u w:val="single" w:color="auto"/>
          <w:color w:val="0000EE"/>
        </w:rPr>
      </w:pPr>
    </w:p>
    <w:p>
      <w:pPr>
        <w:ind w:left="1300"/>
        <w:spacing w:after="0"/>
        <w:rPr>
          <w:sz w:val="20"/>
          <w:szCs w:val="20"/>
          <w:color w:val="auto"/>
        </w:rPr>
      </w:pPr>
      <w:r>
        <w:rPr>
          <w:rFonts w:ascii="Times New Roman" w:cs="Times New Roman" w:eastAsia="Times New Roman" w:hAnsi="Times New Roman"/>
          <w:sz w:val="14"/>
          <w:szCs w:val="14"/>
          <w:color w:val="auto"/>
        </w:rPr>
        <w:t>​25.2</w:t>
      </w:r>
    </w:p>
    <w:p>
      <w:pPr>
        <w:spacing w:after="0" w:line="376" w:lineRule="exact"/>
        <w:rPr>
          <w:rFonts w:ascii="Times New Roman" w:cs="Times New Roman" w:eastAsia="Times New Roman" w:hAnsi="Times New Roman"/>
          <w:sz w:val="14"/>
          <w:szCs w:val="14"/>
          <w:u w:val="single" w:color="auto"/>
          <w:color w:val="0000EE"/>
        </w:rPr>
      </w:pPr>
    </w:p>
    <w:p>
      <w:pPr>
        <w:ind w:left="1300"/>
        <w:spacing w:after="0"/>
        <w:rPr>
          <w:sz w:val="20"/>
          <w:szCs w:val="20"/>
          <w:color w:val="auto"/>
        </w:rPr>
      </w:pPr>
      <w:r>
        <w:rPr>
          <w:rFonts w:ascii="Times New Roman" w:cs="Times New Roman" w:eastAsia="Times New Roman" w:hAnsi="Times New Roman"/>
          <w:sz w:val="14"/>
          <w:szCs w:val="14"/>
          <w:color w:val="auto"/>
        </w:rPr>
        <w:t>​25.3</w:t>
      </w:r>
    </w:p>
    <w:p>
      <w:pPr>
        <w:spacing w:after="0" w:line="365" w:lineRule="exact"/>
        <w:rPr>
          <w:rFonts w:ascii="Times New Roman" w:cs="Times New Roman" w:eastAsia="Times New Roman" w:hAnsi="Times New Roman"/>
          <w:sz w:val="14"/>
          <w:szCs w:val="14"/>
          <w:u w:val="single" w:color="auto"/>
          <w:color w:val="0000EE"/>
        </w:rPr>
      </w:pPr>
    </w:p>
    <w:p>
      <w:pPr>
        <w:ind w:left="130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107</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68"/>
        </w:trPr>
        <w:tc>
          <w:tcPr>
            <w:tcW w:w="5760" w:type="dxa"/>
            <w:vAlign w:val="bottom"/>
            <w:gridSpan w:val="23"/>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81">
              <w:r>
                <w:rPr>
                  <w:rFonts w:ascii="Times New Roman" w:cs="Times New Roman" w:eastAsia="Times New Roman" w:hAnsi="Times New Roman"/>
                  <w:sz w:val="14"/>
                  <w:szCs w:val="14"/>
                  <w:color w:val="0000EE"/>
                </w:rPr>
                <w:t>Indenture, dated as of December 7, 2012, among ConocoPhillips Company, as issuer,</w:t>
              </w:r>
            </w:hyperlink>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5360" w:type="dxa"/>
            <w:vAlign w:val="bottom"/>
            <w:tcBorders>
              <w:bottom w:val="single" w:sz="8" w:color="0000EE"/>
            </w:tcBorders>
            <w:gridSpan w:val="17"/>
          </w:tcPr>
          <w:p>
            <w:pPr>
              <w:spacing w:after="0" w:line="149"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ConocoPhillips, as guarantor, and The Bank of New York Mellon Trust Company, N.A., as</w:t>
              </w:r>
            </w:hyperlink>
          </w:p>
        </w:tc>
        <w:tc>
          <w:tcPr>
            <w:tcW w:w="22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340" w:type="dxa"/>
            <w:vAlign w:val="bottom"/>
            <w:tcBorders>
              <w:bottom w:val="single" w:sz="8" w:color="0000EE"/>
            </w:tcBorders>
            <w:gridSpan w:val="16"/>
          </w:tcPr>
          <w:p>
            <w:pPr>
              <w:spacing w:after="0" w:line="149"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trustee, in respect of senior debt securities of ConocoPhillips Company (the “CPCo Senior</w:t>
              </w:r>
            </w:hyperlink>
          </w:p>
        </w:tc>
        <w:tc>
          <w:tcPr>
            <w:tcW w:w="240" w:type="dxa"/>
            <w:vAlign w:val="bottom"/>
            <w:gridSpan w:val="6"/>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580" w:type="dxa"/>
            <w:vAlign w:val="bottom"/>
            <w:gridSpan w:val="22"/>
          </w:tcPr>
          <w:p>
            <w:pPr>
              <w:spacing w:after="0" w:line="149"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Indenture”) (incorporated by reference to Exhibit 4.1 to the Current Report on Form 8-K of</w:t>
              </w:r>
            </w:hyperlink>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360" w:type="dxa"/>
            <w:vAlign w:val="bottom"/>
            <w:tcBorders>
              <w:top w:val="single" w:sz="8" w:color="0000EE"/>
            </w:tcBorders>
            <w:gridSpan w:val="17"/>
          </w:tcPr>
          <w:p>
            <w:pPr>
              <w:spacing w:after="0" w:line="149"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ConocoPhillips filed on December 7, 2012; SEC File No. 001-32395).</w:t>
              </w:r>
            </w:hyperlink>
          </w:p>
        </w:tc>
        <w:tc>
          <w:tcPr>
            <w:tcW w:w="22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60" w:type="dxa"/>
            <w:vAlign w:val="bottom"/>
            <w:gridSpan w:val="23"/>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82">
              <w:r>
                <w:rPr>
                  <w:rFonts w:ascii="Times New Roman" w:cs="Times New Roman" w:eastAsia="Times New Roman" w:hAnsi="Times New Roman"/>
                  <w:sz w:val="14"/>
                  <w:szCs w:val="14"/>
                  <w:color w:val="0000EE"/>
                </w:rPr>
                <w:t>Specimen certificate representing common stock, par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0.01 per share, of ConocoPhillips</w:t>
              </w:r>
            </w:hyperlink>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480" w:type="dxa"/>
            <w:vAlign w:val="bottom"/>
            <w:tcBorders>
              <w:top w:val="single" w:sz="8" w:color="0000EE"/>
              <w:bottom w:val="single" w:sz="8" w:color="0000EE"/>
            </w:tcBorders>
            <w:gridSpan w:val="19"/>
          </w:tcPr>
          <w:p>
            <w:pPr>
              <w:spacing w:after="0" w:line="149"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(incorporated by reference to Exhibit 4.1 to the Joint Proxy Statement/Prospectus included in</w:t>
              </w:r>
            </w:hyperlink>
          </w:p>
        </w:tc>
        <w:tc>
          <w:tcPr>
            <w:tcW w:w="80" w:type="dxa"/>
            <w:vAlign w:val="bottom"/>
            <w:tcBorders>
              <w:top w:val="single" w:sz="8" w:color="0000EE"/>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320" w:type="dxa"/>
            <w:vAlign w:val="bottom"/>
            <w:tcBorders>
              <w:bottom w:val="single" w:sz="8" w:color="0000EE"/>
            </w:tcBorders>
            <w:gridSpan w:val="15"/>
          </w:tcPr>
          <w:p>
            <w:pPr>
              <w:spacing w:after="0" w:line="149"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Registration Statement on Form S-4 of ConocoPhillips filed with the SEC on December 7,</w:t>
              </w:r>
            </w:hyperlink>
          </w:p>
        </w:tc>
        <w:tc>
          <w:tcPr>
            <w:tcW w:w="260" w:type="dxa"/>
            <w:vAlign w:val="bottom"/>
            <w:gridSpan w:val="7"/>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10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2001; Registration No. 333-74798).</w:t>
              </w:r>
            </w:hyperlink>
          </w:p>
        </w:tc>
        <w:tc>
          <w:tcPr>
            <w:tcW w:w="3480" w:type="dxa"/>
            <w:vAlign w:val="bottom"/>
            <w:gridSpan w:val="17"/>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gridSpan w:val="23"/>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King &amp; Spalding LLP.</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80"/>
        </w:trPr>
        <w:tc>
          <w:tcPr>
            <w:tcW w:w="180" w:type="dxa"/>
            <w:vAlign w:val="bottom"/>
            <w:vMerge w:val="continue"/>
          </w:tcPr>
          <w:p>
            <w:pPr>
              <w:spacing w:after="0"/>
              <w:rPr>
                <w:sz w:val="15"/>
                <w:szCs w:val="15"/>
                <w:color w:val="auto"/>
              </w:rPr>
            </w:pPr>
          </w:p>
        </w:tc>
        <w:tc>
          <w:tcPr>
            <w:tcW w:w="558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Subsidiary Guarantors of Guaranteed Securities.</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8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c>
          <w:tcPr>
            <w:tcW w:w="720" w:type="dxa"/>
            <w:vAlign w:val="bottom"/>
          </w:tcPr>
          <w:p>
            <w:pPr>
              <w:spacing w:after="0"/>
              <w:rPr>
                <w:sz w:val="15"/>
                <w:szCs w:val="15"/>
                <w:color w:val="auto"/>
              </w:rPr>
            </w:pPr>
          </w:p>
        </w:tc>
        <w:tc>
          <w:tcPr>
            <w:tcW w:w="152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80"/>
        </w:trPr>
        <w:tc>
          <w:tcPr>
            <w:tcW w:w="180" w:type="dxa"/>
            <w:vAlign w:val="bottom"/>
            <w:vMerge w:val="continue"/>
          </w:tcPr>
          <w:p>
            <w:pPr>
              <w:spacing w:after="0"/>
              <w:rPr>
                <w:sz w:val="15"/>
                <w:szCs w:val="15"/>
                <w:color w:val="auto"/>
              </w:rPr>
            </w:pPr>
          </w:p>
        </w:tc>
        <w:tc>
          <w:tcPr>
            <w:tcW w:w="2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Consent of DeGolyer and MacNaughton.</w:t>
            </w:r>
          </w:p>
        </w:tc>
        <w:tc>
          <w:tcPr>
            <w:tcW w:w="3180" w:type="dxa"/>
            <w:vAlign w:val="bottom"/>
            <w:gridSpan w:val="16"/>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Consent of King &amp; Spalding LLP (contained in Exhibit 5.1).</w:t>
            </w:r>
          </w:p>
        </w:tc>
        <w:tc>
          <w:tcPr>
            <w:tcW w:w="2020" w:type="dxa"/>
            <w:vAlign w:val="bottom"/>
            <w:gridSpan w:val="12"/>
          </w:tcPr>
          <w:p>
            <w:pPr>
              <w:spacing w:after="0"/>
              <w:rPr>
                <w:sz w:val="15"/>
                <w:szCs w:val="15"/>
                <w:color w:val="auto"/>
              </w:rPr>
            </w:pP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9"/>
        </w:trPr>
        <w:tc>
          <w:tcPr>
            <w:tcW w:w="5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Powers of Attorney of directors and officers of ConocoPhillips (included on the signature page</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60" w:type="dxa"/>
            <w:vAlign w:val="bottom"/>
            <w:tcBorders>
              <w:top w:val="single" w:sz="8" w:color="0000EE"/>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rPr>
              <w:t>of the Registration Statement).</w:t>
            </w:r>
          </w:p>
        </w:tc>
        <w:tc>
          <w:tcPr>
            <w:tcW w:w="3720" w:type="dxa"/>
            <w:vAlign w:val="bottom"/>
            <w:tcBorders>
              <w:top w:val="single" w:sz="8" w:color="0000EE"/>
            </w:tcBorders>
            <w:gridSpan w:val="19"/>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Powers of Attorney of directors and officers of ConocoPhillips Company (included on the</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280" w:type="dxa"/>
            <w:vAlign w:val="bottom"/>
            <w:tcBorders>
              <w:top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signature page of the Registration Statement).</w:t>
            </w:r>
          </w:p>
        </w:tc>
        <w:tc>
          <w:tcPr>
            <w:tcW w:w="300" w:type="dxa"/>
            <w:vAlign w:val="bottom"/>
            <w:gridSpan w:val="8"/>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Statement of Eligibility under the Trust Indenture Act of 1939, as amended, of The Bank of</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660" w:type="dxa"/>
            <w:vAlign w:val="bottom"/>
            <w:gridSpan w:val="6"/>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5560" w:type="dxa"/>
            <w:vAlign w:val="bottom"/>
            <w:tcBorders>
              <w:bottom w:val="single" w:sz="8" w:color="0000EE"/>
            </w:tcBorders>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New York Mellon Trust Company, N.A., as trustee under the ConocoPhillips Senior Indenture,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66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rPr>
              <w:t>dated as of October 9, 2002.</w:t>
            </w:r>
          </w:p>
        </w:tc>
        <w:tc>
          <w:tcPr>
            <w:tcW w:w="3920" w:type="dxa"/>
            <w:vAlign w:val="bottom"/>
            <w:gridSpan w:val="20"/>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Statement of Eligibility under the Trust Indenture Act of 1939, as amended, of The Bank of</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080" w:type="dxa"/>
            <w:vAlign w:val="bottom"/>
            <w:tcBorders>
              <w:top w:val="single" w:sz="8" w:color="0000EE"/>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rPr>
              <w:t>New York Mellon Trust Company, N.A., as trustee, for the form of the ConocoPhillips</w:t>
            </w:r>
          </w:p>
        </w:tc>
        <w:tc>
          <w:tcPr>
            <w:tcW w:w="300" w:type="dxa"/>
            <w:vAlign w:val="bottom"/>
            <w:tcBorders>
              <w:top w:val="single" w:sz="8" w:color="0000EE"/>
            </w:tcBorders>
            <w:gridSpan w:val="5"/>
          </w:tcPr>
          <w:p>
            <w:pPr>
              <w:spacing w:after="0"/>
              <w:rPr>
                <w:sz w:val="12"/>
                <w:szCs w:val="12"/>
                <w:color w:val="auto"/>
              </w:rPr>
            </w:pPr>
          </w:p>
        </w:tc>
        <w:tc>
          <w:tcPr>
            <w:tcW w:w="20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42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rPr>
              <w:t>Subordinated Indenture.</w:t>
            </w:r>
          </w:p>
        </w:tc>
        <w:tc>
          <w:tcPr>
            <w:tcW w:w="4160" w:type="dxa"/>
            <w:vAlign w:val="bottom"/>
            <w:gridSpan w:val="21"/>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Statement of Eligibility under the Trust Indenture Act of 1939, as amended, of The Bank of</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960" w:type="dxa"/>
            <w:vAlign w:val="bottom"/>
            <w:gridSpan w:val="11"/>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5580" w:type="dxa"/>
            <w:vAlign w:val="bottom"/>
            <w:gridSpan w:val="22"/>
          </w:tcPr>
          <w:p>
            <w:pPr>
              <w:spacing w:after="0" w:line="149" w:lineRule="exact"/>
              <w:rPr>
                <w:sz w:val="20"/>
                <w:szCs w:val="20"/>
                <w:color w:val="auto"/>
              </w:rPr>
            </w:pPr>
            <w:r>
              <w:rPr>
                <w:rFonts w:ascii="Times New Roman" w:cs="Times New Roman" w:eastAsia="Times New Roman" w:hAnsi="Times New Roman"/>
                <w:sz w:val="14"/>
                <w:szCs w:val="14"/>
                <w:color w:val="0000EE"/>
              </w:rPr>
              <w:t>New York Mellon Trust Company, N.A., as trustee under the ConocoPhillips Company Senior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420" w:type="dxa"/>
            <w:vAlign w:val="bottom"/>
            <w:tcBorders>
              <w:top w:val="single" w:sz="8" w:color="0000EE"/>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rPr>
              <w:t>Indenture, dated as of December 7, 2012.</w:t>
            </w:r>
          </w:p>
        </w:tc>
        <w:tc>
          <w:tcPr>
            <w:tcW w:w="3100" w:type="dxa"/>
            <w:vAlign w:val="bottom"/>
            <w:tcBorders>
              <w:top w:val="single" w:sz="8" w:color="0000EE"/>
            </w:tcBorders>
            <w:gridSpan w:val="13"/>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gridSpan w:val="23"/>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Calculation of Filing Fee Table.</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120015</wp:posOffset>
            </wp:positionV>
            <wp:extent cx="9620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1560" w:space="280"/>
            <w:col w:w="7179"/>
          </w:cols>
          <w:pgMar w:left="1440" w:top="107" w:right="1440" w:bottom="1440" w:gutter="0" w:footer="0" w:header="0"/>
          <w:type w:val="continuous"/>
        </w:sectPr>
      </w:pPr>
    </w:p>
    <w:p>
      <w:pPr>
        <w:ind w:left="1580" w:right="1439" w:hanging="275"/>
        <w:spacing w:after="0" w:line="260" w:lineRule="auto"/>
        <w:tabs>
          <w:tab w:leader="none" w:pos="158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ConocoPhillips will file as an exhibit to a Current Report on Form 8-K (i) any underwriting, remarketing or agency agreement relating to the securities offered hereby, (ii) the instruments setting forth the terms of any debt securities, preferred stock, warrants, depositary shares or stock purchase contracts, (iii) any additional required opinions of counsel with respect to the legality of the securities offered</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6" w:name="page37"/>
    <w:bookmarkEnd w:id="3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459"/>
        <w:spacing w:after="0" w:line="283" w:lineRule="auto"/>
        <w:rPr>
          <w:sz w:val="20"/>
          <w:szCs w:val="20"/>
          <w:color w:val="auto"/>
        </w:rPr>
      </w:pPr>
      <w:r>
        <w:rPr>
          <w:rFonts w:ascii="Times New Roman" w:cs="Times New Roman" w:eastAsia="Times New Roman" w:hAnsi="Times New Roman"/>
          <w:sz w:val="14"/>
          <w:szCs w:val="14"/>
          <w:color w:val="auto"/>
        </w:rPr>
        <w:t>hereby and (iv) any required opinion of counsel to ConocoPhillips as to certain tax matters relative to the securities offered hereby.</w:t>
      </w:r>
    </w:p>
    <w:p>
      <w:pPr>
        <w:spacing w:after="0" w:line="11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3"/>
          <w:szCs w:val="13"/>
          <w:b w:val="1"/>
          <w:bCs w:val="1"/>
          <w:color w:val="auto"/>
        </w:rPr>
        <w:t>Undertakings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undersigned Registrants hereby undertake:</w:t>
      </w:r>
    </w:p>
    <w:p>
      <w:pPr>
        <w:spacing w:after="0" w:line="113" w:lineRule="exact"/>
        <w:rPr>
          <w:sz w:val="20"/>
          <w:szCs w:val="20"/>
          <w:color w:val="auto"/>
        </w:rPr>
      </w:pPr>
    </w:p>
    <w:p>
      <w:pPr>
        <w:ind w:left="1860" w:right="1439" w:hanging="274"/>
        <w:spacing w:after="0" w:line="283" w:lineRule="auto"/>
        <w:tabs>
          <w:tab w:leader="none" w:pos="18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2" w:lineRule="exact"/>
        <w:rPr>
          <w:rFonts w:ascii="Times New Roman" w:cs="Times New Roman" w:eastAsia="Times New Roman" w:hAnsi="Times New Roman"/>
          <w:sz w:val="14"/>
          <w:szCs w:val="14"/>
          <w:color w:val="auto"/>
        </w:rPr>
      </w:pPr>
    </w:p>
    <w:p>
      <w:pPr>
        <w:ind w:left="2140" w:hanging="273"/>
        <w:spacing w:after="0"/>
        <w:tabs>
          <w:tab w:leader="none" w:pos="21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12" w:lineRule="exact"/>
        <w:rPr>
          <w:rFonts w:ascii="Times New Roman" w:cs="Times New Roman" w:eastAsia="Times New Roman" w:hAnsi="Times New Roman"/>
          <w:sz w:val="14"/>
          <w:szCs w:val="14"/>
          <w:color w:val="auto"/>
        </w:rPr>
      </w:pPr>
    </w:p>
    <w:p>
      <w:pPr>
        <w:ind w:left="2140" w:right="1319" w:hanging="273"/>
        <w:spacing w:after="0" w:line="254" w:lineRule="auto"/>
        <w:tabs>
          <w:tab w:leader="none" w:pos="21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5" w:lineRule="exact"/>
        <w:rPr>
          <w:rFonts w:ascii="Times New Roman" w:cs="Times New Roman" w:eastAsia="Times New Roman" w:hAnsi="Times New Roman"/>
          <w:sz w:val="14"/>
          <w:szCs w:val="14"/>
          <w:color w:val="auto"/>
        </w:rPr>
      </w:pPr>
    </w:p>
    <w:p>
      <w:pPr>
        <w:ind w:left="2140" w:right="1579" w:hanging="273"/>
        <w:spacing w:after="0" w:line="267" w:lineRule="auto"/>
        <w:tabs>
          <w:tab w:leader="none" w:pos="21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1" w:lineRule="exact"/>
        <w:rPr>
          <w:sz w:val="20"/>
          <w:szCs w:val="20"/>
          <w:color w:val="auto"/>
        </w:rPr>
      </w:pPr>
    </w:p>
    <w:p>
      <w:pPr>
        <w:ind w:left="1860" w:right="1359"/>
        <w:spacing w:after="0" w:line="24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of this section do not apply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registration statement is on Form S-3 and the information required to be included in a post-effective amendment by those paragraphs is contained in reports filed with or furnished to the Commission by the Registrants pursuant to Section 13 or Section 15(d) of the Exchange Act, that are incorporated by reference in the registration statement, or is contained in a form of prospectus filed pursuant to Rule 424(b) that is part of the registration statement.</w:t>
      </w:r>
    </w:p>
    <w:p>
      <w:pPr>
        <w:spacing w:after="0" w:line="88" w:lineRule="exact"/>
        <w:rPr>
          <w:sz w:val="20"/>
          <w:szCs w:val="20"/>
          <w:color w:val="auto"/>
        </w:rPr>
      </w:pPr>
    </w:p>
    <w:p>
      <w:pPr>
        <w:ind w:left="1860" w:right="1459" w:hanging="274"/>
        <w:spacing w:after="0" w:line="261" w:lineRule="auto"/>
        <w:tabs>
          <w:tab w:leader="none" w:pos="18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78" w:lineRule="exact"/>
        <w:rPr>
          <w:rFonts w:ascii="Times New Roman" w:cs="Times New Roman" w:eastAsia="Times New Roman" w:hAnsi="Times New Roman"/>
          <w:sz w:val="14"/>
          <w:szCs w:val="14"/>
          <w:color w:val="auto"/>
        </w:rPr>
      </w:pPr>
    </w:p>
    <w:p>
      <w:pPr>
        <w:ind w:left="1860" w:right="1499" w:hanging="274"/>
        <w:spacing w:after="0" w:line="283" w:lineRule="auto"/>
        <w:tabs>
          <w:tab w:leader="none" w:pos="18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2" w:lineRule="exact"/>
        <w:rPr>
          <w:rFonts w:ascii="Times New Roman" w:cs="Times New Roman" w:eastAsia="Times New Roman" w:hAnsi="Times New Roman"/>
          <w:sz w:val="14"/>
          <w:szCs w:val="14"/>
          <w:color w:val="auto"/>
        </w:rPr>
      </w:pPr>
    </w:p>
    <w:p>
      <w:pPr>
        <w:ind w:left="1860" w:hanging="274"/>
        <w:spacing w:after="0"/>
        <w:tabs>
          <w:tab w:leader="none" w:pos="18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2" w:lineRule="exact"/>
        <w:rPr>
          <w:rFonts w:ascii="Times New Roman" w:cs="Times New Roman" w:eastAsia="Times New Roman" w:hAnsi="Times New Roman"/>
          <w:sz w:val="14"/>
          <w:szCs w:val="14"/>
          <w:color w:val="auto"/>
        </w:rPr>
      </w:pPr>
    </w:p>
    <w:p>
      <w:pPr>
        <w:ind w:left="2140" w:right="1339" w:hanging="273"/>
        <w:spacing w:after="0" w:line="267" w:lineRule="auto"/>
        <w:tabs>
          <w:tab w:leader="none" w:pos="21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2" w:lineRule="exact"/>
        <w:rPr>
          <w:rFonts w:ascii="Times New Roman" w:cs="Times New Roman" w:eastAsia="Times New Roman" w:hAnsi="Times New Roman"/>
          <w:sz w:val="14"/>
          <w:szCs w:val="14"/>
          <w:color w:val="auto"/>
        </w:rPr>
      </w:pPr>
    </w:p>
    <w:p>
      <w:pPr>
        <w:ind w:left="2140" w:right="1399" w:hanging="273"/>
        <w:spacing w:after="0" w:line="253" w:lineRule="auto"/>
        <w:tabs>
          <w:tab w:leader="none" w:pos="21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40" w:right="1399"/>
        <w:spacing w:after="0" w:line="259" w:lineRule="auto"/>
        <w:rPr>
          <w:sz w:val="20"/>
          <w:szCs w:val="20"/>
          <w:color w:val="auto"/>
        </w:rPr>
      </w:pPr>
      <w:r>
        <w:rPr>
          <w:rFonts w:ascii="Times New Roman" w:cs="Times New Roman" w:eastAsia="Times New Roman" w:hAnsi="Times New Roman"/>
          <w:sz w:val="14"/>
          <w:szCs w:val="14"/>
          <w:color w:val="auto"/>
        </w:rPr>
        <w:t>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9" w:lineRule="exact"/>
        <w:rPr>
          <w:sz w:val="20"/>
          <w:szCs w:val="20"/>
          <w:color w:val="auto"/>
        </w:rPr>
      </w:pPr>
    </w:p>
    <w:p>
      <w:pPr>
        <w:ind w:left="1860" w:right="1359" w:hanging="274"/>
        <w:spacing w:after="0" w:line="256" w:lineRule="auto"/>
        <w:tabs>
          <w:tab w:leader="none" w:pos="18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a Registrant under the Securities Act to any purchaser in the initial distribution of the securities, each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263" w:lineRule="exact"/>
        <w:rPr>
          <w:rFonts w:ascii="Times New Roman" w:cs="Times New Roman" w:eastAsia="Times New Roman" w:hAnsi="Times New Roman"/>
          <w:sz w:val="14"/>
          <w:szCs w:val="14"/>
          <w:color w:val="auto"/>
        </w:rPr>
      </w:pPr>
    </w:p>
    <w:p>
      <w:pPr>
        <w:ind w:left="2140" w:right="1679" w:hanging="273"/>
        <w:spacing w:after="0" w:line="283" w:lineRule="auto"/>
        <w:tabs>
          <w:tab w:leader="none" w:pos="21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such undersigned Registrant relating to the offering required to be filed pursuant to Rule 424;</w:t>
      </w:r>
    </w:p>
    <w:p>
      <w:pPr>
        <w:spacing w:after="0" w:line="62" w:lineRule="exact"/>
        <w:rPr>
          <w:rFonts w:ascii="Times New Roman" w:cs="Times New Roman" w:eastAsia="Times New Roman" w:hAnsi="Times New Roman"/>
          <w:sz w:val="14"/>
          <w:szCs w:val="14"/>
          <w:color w:val="auto"/>
        </w:rPr>
      </w:pPr>
    </w:p>
    <w:p>
      <w:pPr>
        <w:ind w:left="2140" w:right="1919" w:hanging="273"/>
        <w:spacing w:after="0" w:line="283" w:lineRule="auto"/>
        <w:tabs>
          <w:tab w:leader="none" w:pos="21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such undersigned Registrant or used or referred to by such undersigned Registrant;</w:t>
      </w:r>
    </w:p>
    <w:p>
      <w:pPr>
        <w:spacing w:after="0" w:line="72" w:lineRule="exact"/>
        <w:rPr>
          <w:rFonts w:ascii="Times New Roman" w:cs="Times New Roman" w:eastAsia="Times New Roman" w:hAnsi="Times New Roman"/>
          <w:sz w:val="14"/>
          <w:szCs w:val="14"/>
          <w:color w:val="auto"/>
        </w:rPr>
      </w:pPr>
    </w:p>
    <w:p>
      <w:pPr>
        <w:jc w:val="both"/>
        <w:ind w:left="2140" w:right="1499" w:hanging="273"/>
        <w:spacing w:after="0" w:line="267" w:lineRule="auto"/>
        <w:tabs>
          <w:tab w:leader="none" w:pos="21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83" w:lineRule="exact"/>
        <w:rPr>
          <w:rFonts w:ascii="Times New Roman" w:cs="Times New Roman" w:eastAsia="Times New Roman" w:hAnsi="Times New Roman"/>
          <w:sz w:val="14"/>
          <w:szCs w:val="14"/>
          <w:color w:val="auto"/>
        </w:rPr>
      </w:pPr>
    </w:p>
    <w:p>
      <w:pPr>
        <w:ind w:left="2140" w:right="1319" w:hanging="273"/>
        <w:spacing w:after="0" w:line="283" w:lineRule="auto"/>
        <w:tabs>
          <w:tab w:leader="none" w:pos="21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such undersigned Registrant to the purchaser.</w:t>
      </w:r>
    </w:p>
    <w:p>
      <w:pPr>
        <w:spacing w:after="0" w:line="62" w:lineRule="exact"/>
        <w:rPr>
          <w:rFonts w:ascii="Times New Roman" w:cs="Times New Roman" w:eastAsia="Times New Roman" w:hAnsi="Times New Roman"/>
          <w:sz w:val="14"/>
          <w:szCs w:val="14"/>
          <w:color w:val="auto"/>
        </w:rPr>
      </w:pPr>
    </w:p>
    <w:p>
      <w:pPr>
        <w:ind w:left="1860" w:right="1319" w:hanging="274"/>
        <w:spacing w:after="0" w:line="257" w:lineRule="auto"/>
        <w:tabs>
          <w:tab w:leader="none" w:pos="18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a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Times New Roman" w:cs="Times New Roman" w:eastAsia="Times New Roman" w:hAnsi="Times New Roman"/>
          <w:sz w:val="14"/>
          <w:szCs w:val="14"/>
          <w:color w:val="auto"/>
        </w:rPr>
      </w:pPr>
    </w:p>
    <w:p>
      <w:pPr>
        <w:ind w:left="1860" w:right="133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Registrants pursuant to the foregoing provisions, or otherwise, each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undersigned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June 30, 2026.</w:t>
      </w:r>
    </w:p>
    <w:p>
      <w:pPr>
        <w:spacing w:after="0" w:line="1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ConocoPhillips</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Andrew 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40640</wp:posOffset>
            </wp:positionV>
            <wp:extent cx="19240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1924050" cy="6985"/>
                    </a:xfrm>
                    <a:prstGeom prst="rect">
                      <a:avLst/>
                    </a:prstGeom>
                    <a:noFill/>
                  </pic:spPr>
                </pic:pic>
              </a:graphicData>
            </a:graphic>
          </wp:anchor>
        </w:drawing>
      </w:r>
    </w:p>
    <w:p>
      <w:pPr>
        <w:spacing w:after="0" w:line="7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tab/>
        <w:t>Andrew M. O’Brien</w:t>
      </w:r>
    </w:p>
    <w:p>
      <w:pPr>
        <w:spacing w:after="0" w:line="2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tab/>
        <w:t>Executive Vice President, Strategy,</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Commercial and Chief Financial Officer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5" w:lineRule="exact"/>
        <w:rPr>
          <w:sz w:val="20"/>
          <w:szCs w:val="20"/>
          <w:color w:val="auto"/>
        </w:rPr>
      </w:pPr>
    </w:p>
    <w:p>
      <w:pPr>
        <w:ind w:left="1300" w:right="1359" w:firstLine="281"/>
        <w:spacing w:after="0" w:line="253" w:lineRule="auto"/>
        <w:rPr>
          <w:sz w:val="20"/>
          <w:szCs w:val="20"/>
          <w:color w:val="auto"/>
        </w:rPr>
      </w:pPr>
      <w:r>
        <w:rPr>
          <w:rFonts w:ascii="Times New Roman" w:cs="Times New Roman" w:eastAsia="Times New Roman" w:hAnsi="Times New Roman"/>
          <w:sz w:val="14"/>
          <w:szCs w:val="14"/>
          <w:color w:val="auto"/>
        </w:rPr>
        <w:t>Each person whose signature appears below appoints Ryan M. Lance, Andrew M. O’Brien, Kontessa Haynes-Welch, Kelly B. Rose, and Monica E. White, and each of them, severally, as his or her true and lawful attorney or attorneys-in-fact and agent or agents, each of whom shall be authorized to act with or without the others, with full power of substitution and re-substitution, for him or her and in his or her name, place and stead in his or her capacity as a director or officer or both, as the case may be, of ConocoPhillips, to sign any and all amendments (including post-effective amendments) to this Registration Statement, and all documents or instruments necessary, advisable or appropriate to enable ConocoPhillips to comply with the Securities Act of 1933, as amended, and all other federal and state securities laws,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advisable or appropriate in connection with any or all of the above-described matters and to all intents and purposes as he or she might or could do in person, hereby ratifying and confirming all that said attorneys-in-fact and agents or any of them or their substitutes, may lawfully do or cause to be done by virtue hereof.</w:t>
      </w:r>
    </w:p>
    <w:p>
      <w:pPr>
        <w:spacing w:after="0" w:line="86"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indicated on June 30, 2026.</w:t>
      </w:r>
    </w:p>
    <w:p>
      <w:pPr>
        <w:spacing w:after="0" w:line="310" w:lineRule="exact"/>
        <w:rPr>
          <w:sz w:val="20"/>
          <w:szCs w:val="20"/>
          <w:color w:val="auto"/>
        </w:rPr>
      </w:pPr>
    </w:p>
    <w:tbl>
      <w:tblPr>
        <w:tblLayout w:type="fixed"/>
        <w:tblInd w:w="320" w:type="dxa"/>
        <w:tblCellMar>
          <w:top w:w="0" w:type="dxa"/>
          <w:left w:w="0" w:type="dxa"/>
          <w:bottom w:w="0" w:type="dxa"/>
          <w:right w:w="0" w:type="dxa"/>
        </w:tblCellMar>
      </w:tblPr>
      <w:tr>
        <w:trPr>
          <w:trHeight w:val="177"/>
        </w:trPr>
        <w:tc>
          <w:tcPr>
            <w:tcW w:w="98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60" w:type="dxa"/>
            <w:vAlign w:val="bottom"/>
          </w:tcPr>
          <w:p>
            <w:pPr>
              <w:spacing w:after="0"/>
              <w:rPr>
                <w:sz w:val="15"/>
                <w:szCs w:val="15"/>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100" w:type="dxa"/>
            <w:vAlign w:val="bottom"/>
          </w:tcPr>
          <w:p>
            <w:pPr>
              <w:ind w:left="14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8"/>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Ryan M. Lance</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of the Board of Directors, President and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Ryan M. Lance</w:t>
            </w: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00" w:type="dxa"/>
            <w:vAlign w:val="bottom"/>
            <w:vMerge w:val="continue"/>
          </w:tcPr>
          <w:p>
            <w:pPr>
              <w:spacing w:after="0"/>
              <w:rPr>
                <w:sz w:val="8"/>
                <w:szCs w:val="8"/>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3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Andrew M. O’Brien</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Strategy, Commercial and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Andrew M. O’Brien</w:t>
            </w: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0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5"/>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Kontessa S. Haynes-Welsh</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Vice President, Finance and Controller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Kontessa S. Haynes-Welsh</w:t>
            </w:r>
          </w:p>
        </w:tc>
        <w:tc>
          <w:tcPr>
            <w:tcW w:w="360" w:type="dxa"/>
            <w:vAlign w:val="bottom"/>
          </w:tcPr>
          <w:p>
            <w:pPr>
              <w:spacing w:after="0"/>
              <w:rPr>
                <w:sz w:val="15"/>
                <w:szCs w:val="15"/>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00" w:type="dxa"/>
            <w:vAlign w:val="bottom"/>
            <w:vMerge w:val="continue"/>
          </w:tcPr>
          <w:p>
            <w:pPr>
              <w:spacing w:after="0"/>
              <w:rPr>
                <w:sz w:val="15"/>
                <w:szCs w:val="15"/>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Dennis V. Arriola</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9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10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Dennis V. Arriola</w:t>
            </w: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w w:val="95"/>
              </w:rPr>
              <w:t>II-6</w:t>
            </w:r>
          </w:p>
        </w:tc>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tabs>
          <w:tab w:leader="none" w:pos="230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22"/>
          <w:szCs w:val="22"/>
          <w:b w:val="1"/>
          <w:bCs w:val="1"/>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26670</wp:posOffset>
            </wp:positionV>
            <wp:extent cx="19780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9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Nelda J.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Nelda J. Connors</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Gay Huey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Gay Huey Evans</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Jeffrey A. Joerres</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Timothy A. Leach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Timothy A. Leach</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Kathleen A. McGinty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Kathleen A. McGinty</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William H. McRaven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William H. McRaven</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Sharmila 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Sharmila Mulligan</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Arjun N. Murti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Arjun N. Murti</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Robert A. Niblock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Robert A. Niblock</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David T. Seaton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David T. Seaton</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 ​</w:t>
      </w:r>
    </w:p>
    <w:p>
      <w:pPr>
        <w:spacing w:after="0" w:line="18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/s/ R.A.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40640</wp:posOffset>
            </wp:positionV>
            <wp:extent cx="19780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7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R.A. Walker</w:t>
      </w:r>
    </w:p>
    <w:p>
      <w:pPr>
        <w:spacing w:after="0" w:line="200" w:lineRule="exact"/>
        <w:rPr>
          <w:sz w:val="20"/>
          <w:szCs w:val="20"/>
          <w:color w:val="auto"/>
        </w:rPr>
      </w:pPr>
    </w:p>
    <w:p>
      <w:pPr>
        <w:spacing w:after="0" w:line="312"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194945</wp:posOffset>
            </wp:positionV>
            <wp:extent cx="533082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32385</wp:posOffset>
            </wp:positionV>
            <wp:extent cx="19780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1"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4">
            <w:col w:w="1420" w:space="720"/>
            <w:col w:w="3040" w:space="720"/>
            <w:col w:w="1080" w:space="720"/>
            <w:col w:w="1319"/>
          </w:cols>
          <w:pgMar w:left="1440" w:top="107" w:right="1440" w:bottom="1440" w:gutter="0" w:footer="0" w:header="0"/>
        </w:sectPr>
      </w:pPr>
    </w:p>
    <w:bookmarkStart w:id="40" w:name="page41"/>
    <w:bookmarkEnd w:id="4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undersigned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June 30, 2026.</w:t>
      </w:r>
    </w:p>
    <w:p>
      <w:pPr>
        <w:spacing w:after="0" w:line="1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ConocoPhillips Company</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Andrew 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40640</wp:posOffset>
            </wp:positionV>
            <wp:extent cx="19240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1924050" cy="6985"/>
                    </a:xfrm>
                    <a:prstGeom prst="rect">
                      <a:avLst/>
                    </a:prstGeom>
                    <a:noFill/>
                  </pic:spPr>
                </pic:pic>
              </a:graphicData>
            </a:graphic>
          </wp:anchor>
        </w:drawing>
      </w:r>
    </w:p>
    <w:p>
      <w:pPr>
        <w:spacing w:after="0" w:line="61"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tab/>
        <w:t>Andrew M. O’Brien</w:t>
      </w:r>
    </w:p>
    <w:p>
      <w:pPr>
        <w:spacing w:after="0" w:line="2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tab/>
        <w:t>Executive Vice President, Strategy,</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Commercial and Chief Financial Officer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5" w:lineRule="exact"/>
        <w:rPr>
          <w:sz w:val="20"/>
          <w:szCs w:val="20"/>
          <w:color w:val="auto"/>
        </w:rPr>
      </w:pPr>
    </w:p>
    <w:p>
      <w:pPr>
        <w:ind w:left="1300" w:right="1359" w:firstLine="281"/>
        <w:spacing w:after="0" w:line="253" w:lineRule="auto"/>
        <w:rPr>
          <w:sz w:val="20"/>
          <w:szCs w:val="20"/>
          <w:color w:val="auto"/>
        </w:rPr>
      </w:pPr>
      <w:r>
        <w:rPr>
          <w:rFonts w:ascii="Times New Roman" w:cs="Times New Roman" w:eastAsia="Times New Roman" w:hAnsi="Times New Roman"/>
          <w:sz w:val="14"/>
          <w:szCs w:val="14"/>
          <w:color w:val="auto"/>
        </w:rPr>
        <w:t>Each person whose signature appears below appoints Ryan M. Lance, Andrew M. O’Brien, Kontessa Haynes-Welch, Kelly B. Rose, and Monica E. White, and each of them, severally, as his or her true and lawful attorney or attorneys-in-fact and agent or agents, each of whom shall be authorized to act with or without the others, with full power of substitution and re-substitution, for him or her and in his or her name, place and stead in his or her capacity as a director or officer or both, as the case may be, of ConocoPhillips Company, to sign any and all amendments (including post-effective amendments) to this Registration Statement, and all documents or instruments necessary, advisable or appropriate to enable ConocoPhillips Company to comply with the Securities Act of 1933, as amended, and all other federal and state securities laws,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advisable or appropriate in connection with any or all of the above-described matters and to all intents and purposes as he or she might or could do in person, hereby ratifying and confirming all that said attorneys-in-fact and agents or any of them or their substitutes, may lawfully do or cause to be done by virtue hereof.</w:t>
      </w:r>
    </w:p>
    <w:p>
      <w:pPr>
        <w:spacing w:after="0" w:line="97"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indicated on June 30, 2026.</w:t>
      </w:r>
    </w:p>
    <w:p>
      <w:pPr>
        <w:spacing w:after="0" w:line="300" w:lineRule="exact"/>
        <w:rPr>
          <w:sz w:val="20"/>
          <w:szCs w:val="20"/>
          <w:color w:val="auto"/>
        </w:rPr>
      </w:pPr>
    </w:p>
    <w:tbl>
      <w:tblPr>
        <w:tblLayout w:type="fixed"/>
        <w:tblInd w:w="320" w:type="dxa"/>
        <w:tblCellMar>
          <w:top w:w="0" w:type="dxa"/>
          <w:left w:w="0" w:type="dxa"/>
          <w:bottom w:w="0" w:type="dxa"/>
          <w:right w:w="0" w:type="dxa"/>
        </w:tblCellMar>
      </w:tblPr>
      <w:tr>
        <w:trPr>
          <w:trHeight w:val="177"/>
        </w:trPr>
        <w:tc>
          <w:tcPr>
            <w:tcW w:w="98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6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20" w:type="dxa"/>
            <w:vAlign w:val="bottom"/>
          </w:tcPr>
          <w:p>
            <w:pPr>
              <w:ind w:left="13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Ryan M. Lance</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9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Ryan M. Lance</w:t>
            </w:r>
          </w:p>
        </w:tc>
        <w:tc>
          <w:tcPr>
            <w:tcW w:w="360" w:type="dxa"/>
            <w:vAlign w:val="bottom"/>
          </w:tcPr>
          <w:p>
            <w:pPr>
              <w:spacing w:after="0"/>
              <w:rPr>
                <w:sz w:val="11"/>
                <w:szCs w:val="11"/>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020" w:type="dxa"/>
            <w:vAlign w:val="bottom"/>
            <w:vMerge w:val="continue"/>
          </w:tcPr>
          <w:p>
            <w:pPr>
              <w:spacing w:after="0"/>
              <w:rPr>
                <w:sz w:val="11"/>
                <w:szCs w:val="11"/>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4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2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Andrew M. O’Brien</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Director, Executive Vice President, Strategy,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color w:val="auto"/>
              </w:rPr>
              <w:t>Commercial and Chief Financial Officer</w:t>
            </w: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Andrew M. O’Brien</w:t>
            </w: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0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5"/>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Kontessa S. Haynes-Welsh</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Vice President, Finance and Controller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9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Kontessa S. Haynes-Welsh</w:t>
            </w:r>
          </w:p>
        </w:tc>
        <w:tc>
          <w:tcPr>
            <w:tcW w:w="360" w:type="dxa"/>
            <w:vAlign w:val="bottom"/>
          </w:tcPr>
          <w:p>
            <w:pPr>
              <w:spacing w:after="0"/>
              <w:rPr>
                <w:sz w:val="11"/>
                <w:szCs w:val="11"/>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020" w:type="dxa"/>
            <w:vAlign w:val="bottom"/>
            <w:vMerge w:val="continue"/>
          </w:tcPr>
          <w:p>
            <w:pPr>
              <w:spacing w:after="0"/>
              <w:rPr>
                <w:sz w:val="11"/>
                <w:szCs w:val="11"/>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4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2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Kelly B. Rose</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Director, Senior Vice President, Legal, General</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Counsel and Corporate Secretary</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Kelly B. Rose</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II-8</w:t>
            </w: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7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2352040" cy="247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2352040" cy="247015"/>
                    </a:xfrm>
                    <a:prstGeom prst="rect">
                      <a:avLst/>
                    </a:prstGeom>
                    <a:noFill/>
                  </pic:spPr>
                </pic:pic>
              </a:graphicData>
            </a:graphic>
          </wp:anchor>
        </w:drawing>
      </w:r>
    </w:p>
    <w:p>
      <w:pPr>
        <w:spacing w:after="0" w:line="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1180 Peachtree Street N.E.Atlanta, GA</w:t>
      </w:r>
    </w:p>
    <w:p>
      <w:pPr>
        <w:spacing w:after="0" w:line="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30309-3521</w:t>
      </w:r>
    </w:p>
    <w:p>
      <w:pPr>
        <w:spacing w:after="0" w:line="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Tel: +1 404 572 4600</w:t>
      </w:r>
    </w:p>
    <w:p>
      <w:pPr>
        <w:spacing w:after="0" w:line="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Fax: +1 404 572 5100</w:t>
      </w:r>
    </w:p>
    <w:p>
      <w:pPr>
        <w:spacing w:after="0" w:line="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www.kslaw.com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ConocoPhillips Company</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  ConocoPhillips</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925 N. Eldridge Parkway</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Houston, Texas 77079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ind w:right="140" w:firstLine="505"/>
        <w:spacing w:after="0" w:line="261" w:lineRule="auto"/>
        <w:rPr>
          <w:sz w:val="20"/>
          <w:szCs w:val="20"/>
          <w:color w:val="auto"/>
        </w:rPr>
      </w:pPr>
      <w:r>
        <w:rPr>
          <w:rFonts w:ascii="Times New Roman" w:cs="Times New Roman" w:eastAsia="Times New Roman" w:hAnsi="Times New Roman"/>
          <w:sz w:val="14"/>
          <w:szCs w:val="14"/>
          <w:color w:val="auto"/>
        </w:rPr>
        <w:t>We have acted as counsel for ConocoPhillips, a Delaware corporation (the “Company”), and ConocoPhillips Company, a Delaware corporation (“CPCo”), in connection with the preparation and filing of a Registration Statement on Form S-3 (the “Registration Statement”) with the Securities and Exchange Commission under the Securities Act of 1933, as amended (the “Securities Act”). The Registration Statement relates to the registration under the Securities Act of the offer and sale of an indeterminate amount of the following securities (collectively, the “Securities,” and each, a “Security”):</w:t>
      </w:r>
    </w:p>
    <w:p>
      <w:pPr>
        <w:spacing w:after="0" w:line="141" w:lineRule="exact"/>
        <w:rPr>
          <w:sz w:val="20"/>
          <w:szCs w:val="20"/>
          <w:color w:val="auto"/>
        </w:rPr>
      </w:pPr>
    </w:p>
    <w:p>
      <w:pPr>
        <w:jc w:val="both"/>
        <w:ind w:left="500" w:right="180" w:firstLine="505"/>
        <w:spacing w:after="0" w:line="267" w:lineRule="auto"/>
        <w:rPr>
          <w:sz w:val="20"/>
          <w:szCs w:val="20"/>
          <w:color w:val="auto"/>
        </w:rPr>
      </w:pPr>
      <w:r>
        <w:rPr>
          <w:rFonts w:ascii="Times New Roman" w:cs="Times New Roman" w:eastAsia="Times New Roman" w:hAnsi="Times New Roman"/>
          <w:sz w:val="14"/>
          <w:szCs w:val="14"/>
          <w:color w:val="auto"/>
        </w:rPr>
        <w:t>(i)             senior debt securities of the Company (the “ConocoPhillips Senior Debt Securities”) and any related guarantee of such ConocoPhillips Senior Debt Securities by CPCo (the “CPCo Guarantee”), to be issued pursuant to an Indenture, dated as of October 9, 2002 (the “ConocoPhillips Senior Indenture”) among the Company, as issuer, CPCo, as guarantor, and The Bank of New York Mellon Trust Company, N.A., as trustee (the “Trustee”);</w:t>
      </w:r>
    </w:p>
    <w:p>
      <w:pPr>
        <w:spacing w:after="0" w:line="136" w:lineRule="exact"/>
        <w:rPr>
          <w:sz w:val="20"/>
          <w:szCs w:val="20"/>
          <w:color w:val="auto"/>
        </w:rPr>
      </w:pPr>
    </w:p>
    <w:p>
      <w:pPr>
        <w:ind w:left="500" w:right="80" w:firstLine="505"/>
        <w:spacing w:after="0" w:line="261" w:lineRule="auto"/>
        <w:rPr>
          <w:sz w:val="20"/>
          <w:szCs w:val="20"/>
          <w:color w:val="auto"/>
        </w:rPr>
      </w:pPr>
      <w:r>
        <w:rPr>
          <w:rFonts w:ascii="Times New Roman" w:cs="Times New Roman" w:eastAsia="Times New Roman" w:hAnsi="Times New Roman"/>
          <w:sz w:val="14"/>
          <w:szCs w:val="14"/>
          <w:color w:val="auto"/>
        </w:rPr>
        <w:t>(ii)            senior debt securities of CPCo (the “CPCo Senior Debt Securities” and, together with the ConocoPhillips Senior Debt Securities, the “Senior Debt Securities”) and any related guarantee of such CPCo Senior Debt Securities by the Company (the “ConocoPhillips Guarantee” and, together with the CPCo Guarantee, the “Guarantees”), to be issued pursuant to the Indenture, dated as of December 7, 2012 (the “CPCo Senior Indenture” and, together with the ConocoPhillips Senior Indenture, the “Senior Indentures”), among CPCo, as issuer, the Company, as guarantor, and the Trustee, as trustee;</w:t>
      </w:r>
    </w:p>
    <w:p>
      <w:pPr>
        <w:spacing w:after="0" w:line="141" w:lineRule="exact"/>
        <w:rPr>
          <w:sz w:val="20"/>
          <w:szCs w:val="20"/>
          <w:color w:val="auto"/>
        </w:rPr>
      </w:pPr>
    </w:p>
    <w:p>
      <w:pPr>
        <w:ind w:left="500" w:right="320" w:firstLine="505"/>
        <w:spacing w:after="0" w:line="283" w:lineRule="auto"/>
        <w:rPr>
          <w:sz w:val="20"/>
          <w:szCs w:val="20"/>
          <w:color w:val="auto"/>
        </w:rPr>
      </w:pPr>
      <w:r>
        <w:rPr>
          <w:rFonts w:ascii="Times New Roman" w:cs="Times New Roman" w:eastAsia="Times New Roman" w:hAnsi="Times New Roman"/>
          <w:sz w:val="14"/>
          <w:szCs w:val="14"/>
          <w:color w:val="auto"/>
        </w:rPr>
        <w:t>(iii)           subordinated debt securities of the Company (the “Subordinated Debt Securities”), to be issued pursuant to an indenture (the “Subordinated Indenture”) to be entered into between the Company, as issuer, and the Trustee,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71628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ConocoPhillips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(iv)           shares of common stock, par value $0.01 per share, of the Company (the “Common Stock”);</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(v)            shares of preferred stock, par value $0.01 per share, of the Company (the “Preferred Stock”);</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(vi)           depositary shares, each representing a fractional interest in a share of Preferred Stock (the “Depositary Shares”);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(vii)          warrants to purchase Senior Debt Securities, Subordinated Debt Securities, Common Stock, Preferred Stock, Depositary Shares or other securities (the “Warrants”);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(viii)         contracts to purchase Common Stock, Preferred Stock or Depositary Shares at a future date or dates (the “Stock Purchase Contracts”); and</w:t>
      </w:r>
    </w:p>
    <w:p>
      <w:pPr>
        <w:spacing w:after="0" w:line="176" w:lineRule="exact"/>
        <w:rPr>
          <w:sz w:val="20"/>
          <w:szCs w:val="20"/>
          <w:color w:val="auto"/>
        </w:rPr>
      </w:pPr>
    </w:p>
    <w:p>
      <w:pPr>
        <w:ind w:left="500" w:right="180" w:firstLine="505"/>
        <w:spacing w:after="0" w:line="283" w:lineRule="auto"/>
        <w:rPr>
          <w:sz w:val="20"/>
          <w:szCs w:val="20"/>
          <w:color w:val="auto"/>
        </w:rPr>
      </w:pPr>
      <w:r>
        <w:rPr>
          <w:rFonts w:ascii="Times New Roman" w:cs="Times New Roman" w:eastAsia="Times New Roman" w:hAnsi="Times New Roman"/>
          <w:sz w:val="14"/>
          <w:szCs w:val="14"/>
          <w:color w:val="auto"/>
        </w:rPr>
        <w:t>(ix)           units consisting of (A) a Stock Purchase Contract and (B) a combination of Senior Debt Securities, Subordinated Debt Securities or debt obligations of third parties securing the holder’s obligation to purchase Common Stock or Preferred Stock under the Stock Purchase Contracts (the “Stock Purchase Units”).</w:t>
      </w:r>
    </w:p>
    <w:p>
      <w:pPr>
        <w:spacing w:after="0" w:line="125"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accuracy of original, certified, conformed or photographic copies of such records, agreements, certificates and other documents as we have deemed necessary or appropriate to enable us to render the opinions set forth below. In all such examinations, we have assumed the genuineness of signatures on original documents and the conformity to such original documents of all documents submitted to us as certified, conformed or photographic copies and, as to certificates of public officials, we have assumed the same to have been properly given and to be accurate. As to matters of fact material to this opinion, we have relied, without independent verification, upon certificates, statements and representations of public officials and representatives of the Company and CPCo.</w:t>
      </w:r>
    </w:p>
    <w:p>
      <w:pPr>
        <w:spacing w:after="0" w:line="141" w:lineRule="exact"/>
        <w:rPr>
          <w:sz w:val="20"/>
          <w:szCs w:val="20"/>
          <w:color w:val="auto"/>
        </w:rPr>
      </w:pPr>
    </w:p>
    <w:p>
      <w:pPr>
        <w:ind w:right="20" w:firstLine="505"/>
        <w:spacing w:after="0" w:line="255" w:lineRule="auto"/>
        <w:rPr>
          <w:sz w:val="20"/>
          <w:szCs w:val="20"/>
          <w:color w:val="auto"/>
        </w:rPr>
      </w:pPr>
      <w:r>
        <w:rPr>
          <w:rFonts w:ascii="Times New Roman" w:cs="Times New Roman" w:eastAsia="Times New Roman" w:hAnsi="Times New Roman"/>
          <w:sz w:val="14"/>
          <w:szCs w:val="14"/>
          <w:color w:val="auto"/>
        </w:rPr>
        <w:t>We have also assumed that (i) the Senior Indentures, the form of Subordinated Indenture filed as an exhibit to the Registration Statement, and any contract governing or establishing the terms of the Depositary Shares, Warrants, Stock Purchase Contracts or Stock Purchase Units will be the valid and binding obligations of each party thereto (other than the Company and CPCo, as applicable) enforceable against each party thereto (other than the Company and CPCo, as applicable) in accordance with their respective terms, (ii) the execution and delivery of, and performance by the Company and CPCo, as applicable, pursuant to, any Security (A) require no action by or in respect of, or filing with, any governmental body, agency or official and (B) do not contravene, or constitute a default under, any provision of applicable law or regulation or any judgment, injunction, order or decree or any agreement or other instrument binding upon the Company or CPCo, as applicable, (iii) any contract governing or establishing the terms of the Depositary Shares, Warrants, Stock Purchase Contracts or Stock Purchase Units will be governed by the laws of the State of New York, (iv) any Securities issuable upon conversion, exchange or exercise of any Security being offered or issued will be duly authorized, created and, if appropriate, reserved for issuance upon such conversion, exchange or exercise and (v) any securities issued by any third party that comprise part of any of the Securities, or that are issuable upon the conversion, exchange, exercise or otherwise pursuant to the terms of any of the Securities are valid and binding obligations of such third party enforceable against such third party in accordance with their respective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1628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ConocoPhillips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Based on the foregoing, and subject to the additional assumptions, qualifications and limitations set forth below, we are of the opinion that:</w:t>
      </w:r>
    </w:p>
    <w:p>
      <w:pPr>
        <w:spacing w:after="0" w:line="176" w:lineRule="exact"/>
        <w:rPr>
          <w:sz w:val="20"/>
          <w:szCs w:val="20"/>
          <w:color w:val="auto"/>
        </w:rPr>
      </w:pPr>
    </w:p>
    <w:p>
      <w:pPr>
        <w:ind w:left="260" w:right="140" w:firstLine="505"/>
        <w:spacing w:after="0" w:line="256" w:lineRule="auto"/>
        <w:rPr>
          <w:sz w:val="20"/>
          <w:szCs w:val="20"/>
          <w:color w:val="auto"/>
        </w:rPr>
      </w:pPr>
      <w:r>
        <w:rPr>
          <w:rFonts w:ascii="Times New Roman" w:cs="Times New Roman" w:eastAsia="Times New Roman" w:hAnsi="Times New Roman"/>
          <w:sz w:val="14"/>
          <w:szCs w:val="14"/>
          <w:color w:val="auto"/>
        </w:rPr>
        <w:t>(1)            Any ConocoPhillips Senior Debt Securities, when (i) the terms of such series of ConocoPhillips Senior Debt Securities and of their issuance and sale, and all related matters, have been duly authorized and established by all necessary corporate action and (ii) such ConocoPhillips Senior Debt Securities have been duly executed by the Company and authenticated by the Trustee in accordance with the terms of the ConocoPhillips Senior Indenture and duly delivered to the purchasers thereof upon the payment of the consideration therefor,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 The ConocoPhillips Senior Debt Securities covered by the opinion in this paragraph include any ConocoPhillips Senior Debt Securities that may be issued as part of any Stock Purchase Units or upon the conversion, exchange, exercise or otherwise pursuant to the terms of any other Securities.</w:t>
      </w:r>
    </w:p>
    <w:p>
      <w:pPr>
        <w:spacing w:after="0" w:line="145" w:lineRule="exact"/>
        <w:rPr>
          <w:sz w:val="20"/>
          <w:szCs w:val="20"/>
          <w:color w:val="auto"/>
        </w:rPr>
      </w:pPr>
    </w:p>
    <w:p>
      <w:pPr>
        <w:ind w:left="260" w:right="40" w:firstLine="505"/>
        <w:spacing w:after="0" w:line="255" w:lineRule="auto"/>
        <w:rPr>
          <w:sz w:val="20"/>
          <w:szCs w:val="20"/>
          <w:color w:val="auto"/>
        </w:rPr>
      </w:pPr>
      <w:r>
        <w:rPr>
          <w:rFonts w:ascii="Times New Roman" w:cs="Times New Roman" w:eastAsia="Times New Roman" w:hAnsi="Times New Roman"/>
          <w:sz w:val="14"/>
          <w:szCs w:val="14"/>
          <w:color w:val="auto"/>
        </w:rPr>
        <w:t>(2)            Any CPCo Guarantee, when (i) the terms of such CPCo Guarantee and the related series of ConocoPhillips Senior Debt Securities and of the issuance and sale of such CPCo Guarantee and such related series of ConocoPhillips Senior Debt Securities, and all related matters, have been duly authorized and established by all necessary corporate action and (ii) such CPCo Guarantee has been duly executed by CPCo, such ConocoPhillips Senior Debt Securities have been duly executed by the Company and such CPCo Guarantee and ConocoPhillips Senior Debt Securities have been authenticated by the Trustee in accordance with the terms of the ConocoPhillips Senior Indenture and duly delivered to the purchasers thereof upon the payment of the consideration therefor, will constitute valid and binding obligations of CPCo enforceable against CPCo in accordance with their terms, subject, as to the enforcement of remedies, to bankruptcy, insolvency, reorganization, moratorium and similar laws affecting the rights and remedies of creditors generally and to the effect of general principles of equity. The CPCo Guarantees covered by the opinion in this paragraph include any CPCo Guarantees that may be issued as part of any Stock Purchase Units or upon the conversion, exchange, exercise or otherwise pursuant to the terms of any other Securities.</w:t>
      </w:r>
    </w:p>
    <w:p>
      <w:pPr>
        <w:spacing w:after="0" w:line="147" w:lineRule="exact"/>
        <w:rPr>
          <w:sz w:val="20"/>
          <w:szCs w:val="20"/>
          <w:color w:val="auto"/>
        </w:rPr>
      </w:pPr>
    </w:p>
    <w:p>
      <w:pPr>
        <w:ind w:left="260" w:firstLine="505"/>
        <w:spacing w:after="0" w:line="257" w:lineRule="auto"/>
        <w:rPr>
          <w:sz w:val="20"/>
          <w:szCs w:val="20"/>
          <w:color w:val="auto"/>
        </w:rPr>
      </w:pPr>
      <w:r>
        <w:rPr>
          <w:rFonts w:ascii="Times New Roman" w:cs="Times New Roman" w:eastAsia="Times New Roman" w:hAnsi="Times New Roman"/>
          <w:sz w:val="14"/>
          <w:szCs w:val="14"/>
          <w:color w:val="auto"/>
        </w:rPr>
        <w:t>(3)            Any CPCo Senior Debt Securities, when (i) the terms of such series of CPCo Senior Debt Securities and of their issuance and sale, and all related matters, have been duly authorized and established by all necessary corporate action and (ii) such CPCo Senior Debt Securities have been duly executed by CPCo and authenticated by the Trustee in accordance with the terms of the CPCo Senior Indenture and duly delivered to the purchasers thereof upon the payment of the consideration therefor, will constitute valid and binding obligations of CPCo enforceable against CPCo in accordance with their terms, subject, as to the enforcement of remedies, to bankruptcy, insolvency, reorganization, moratorium and similar laws affecting the rights and remedies of creditors generally and to the effect of general principles of equity. The CPCo Senior Debt Securities covered by the opinion in this paragraph include any CPCo Senior Debt Securities that may be issued as part of any Stock Purchase Units or upon the conversion, exchange, exercise or otherwise pursuant to the terms of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1628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ConocoPhillips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61" w:lineRule="exact"/>
        <w:rPr>
          <w:sz w:val="20"/>
          <w:szCs w:val="20"/>
          <w:color w:val="auto"/>
        </w:rPr>
      </w:pPr>
    </w:p>
    <w:p>
      <w:pPr>
        <w:ind w:left="260" w:firstLine="505"/>
        <w:spacing w:after="0" w:line="255" w:lineRule="auto"/>
        <w:rPr>
          <w:sz w:val="20"/>
          <w:szCs w:val="20"/>
          <w:color w:val="auto"/>
        </w:rPr>
      </w:pPr>
      <w:r>
        <w:rPr>
          <w:rFonts w:ascii="Times New Roman" w:cs="Times New Roman" w:eastAsia="Times New Roman" w:hAnsi="Times New Roman"/>
          <w:sz w:val="14"/>
          <w:szCs w:val="14"/>
          <w:color w:val="auto"/>
        </w:rPr>
        <w:t>(4)            Any ConocoPhillips Guarantee, when (i) the terms of such ConocoPhillips Guarantee and the related series of CPCo Senior Debt Securities and of the issuance and sale of such ConocoPhillips Guarantee and such related series of CPCo Senior Debt Securities, and all related matters, have been duly authorized and established by all necessary corporate action and (ii) such ConocoPhillips Guarantee has been duly executed by the Company, such CPCo Senior Debt Securities have been duly executed by CPCo and such ConocoPhillips Guarantee and CPCo Senior Debt Securities have been authenticated by the Trustee in accordance with the terms of the CPCo Senior Indenture and duly delivered to the purchasers thereof upon the payment of the consideration therefor,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 The ConocoPhillips Guarantees covered by the opinion in this paragraph include any ConocoPhillips Guarantees that may be issued as part of any Stock Purchase Units or upon the conversion, exchange, exercise or otherwise pursuant to the terms of any other Securities.</w:t>
      </w:r>
    </w:p>
    <w:p>
      <w:pPr>
        <w:spacing w:after="0" w:line="147" w:lineRule="exact"/>
        <w:rPr>
          <w:sz w:val="20"/>
          <w:szCs w:val="20"/>
          <w:color w:val="auto"/>
        </w:rPr>
      </w:pPr>
    </w:p>
    <w:p>
      <w:pPr>
        <w:ind w:left="260" w:right="40" w:firstLine="505"/>
        <w:spacing w:after="0" w:line="256" w:lineRule="auto"/>
        <w:rPr>
          <w:sz w:val="20"/>
          <w:szCs w:val="20"/>
          <w:color w:val="auto"/>
        </w:rPr>
      </w:pPr>
      <w:r>
        <w:rPr>
          <w:rFonts w:ascii="Times New Roman" w:cs="Times New Roman" w:eastAsia="Times New Roman" w:hAnsi="Times New Roman"/>
          <w:sz w:val="14"/>
          <w:szCs w:val="14"/>
          <w:color w:val="auto"/>
        </w:rPr>
        <w:t>(5)            Any Subordinated Debt Securities, when (i) the Subordinated Indenture has been duly authorized, executed and delivered by the Company in the form attached to the Registration Statement, (ii) the terms of such series of Subordinated Debt Securities and of their issuance and sale, and all related matters, have been duly authorized and established by all necessary corporate action and (iii) such Subordinated Debt Securities have been duly executed by the Company and authenticated by the Trustee in accordance with the terms of the Subordinated Indenture and duly delivered to the purchasers thereof upon the payment of the consideration therefor,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 The Subordinated Debt Securities covered by the opinion in this paragraph include any Subordinated Debt Securities that may be issued as part of any Stock Purchase Units or upon the conversion, exchange, exercise or otherwise pursuant to the terms of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208280</wp:posOffset>
            </wp:positionV>
            <wp:extent cx="71628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20"/>
          </w:cols>
          <w:pgMar w:left="300" w:top="735"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ConocoPhillips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(6)            Any shares of Common Stock, when (i) the terms of their issuance and sale, and all related matters, have been duly authorized and established by all necessary corporate action and</w:t>
      </w:r>
    </w:p>
    <w:p>
      <w:pPr>
        <w:spacing w:after="0" w:line="33" w:lineRule="exact"/>
        <w:rPr>
          <w:sz w:val="20"/>
          <w:szCs w:val="20"/>
          <w:color w:val="auto"/>
        </w:rPr>
      </w:pPr>
    </w:p>
    <w:p>
      <w:pPr>
        <w:ind w:left="260" w:right="240" w:hanging="3"/>
        <w:spacing w:after="0" w:line="256" w:lineRule="auto"/>
        <w:tabs>
          <w:tab w:leader="none" w:pos="46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shares of Common Stock have been duly delivered to the purchasers thereof upon the payment of the consideration therefor (which consideration is not less than the par value of the Common Stock), will be validly issued, fully paid and non-assessable. The shares of Common Stock covered by the opinion in this paragraph include any shares of Common Stock that may be issued pursuant to or as part of any Stock Purchase Contracts or Stock Purchase Units or upon the conversion, exchange, exercise or otherwise pursuant to the terms of any other Securities.</w:t>
      </w:r>
    </w:p>
    <w:p>
      <w:pPr>
        <w:spacing w:after="0" w:line="144" w:lineRule="exact"/>
        <w:rPr>
          <w:sz w:val="20"/>
          <w:szCs w:val="20"/>
          <w:color w:val="auto"/>
        </w:rPr>
      </w:pPr>
    </w:p>
    <w:p>
      <w:pPr>
        <w:ind w:left="260" w:right="60" w:firstLine="505"/>
        <w:spacing w:after="0" w:line="257" w:lineRule="auto"/>
        <w:rPr>
          <w:sz w:val="20"/>
          <w:szCs w:val="20"/>
          <w:color w:val="auto"/>
        </w:rPr>
      </w:pPr>
      <w:r>
        <w:rPr>
          <w:rFonts w:ascii="Times New Roman" w:cs="Times New Roman" w:eastAsia="Times New Roman" w:hAnsi="Times New Roman"/>
          <w:sz w:val="14"/>
          <w:szCs w:val="14"/>
          <w:color w:val="auto"/>
        </w:rPr>
        <w:t>(7)            Any shares of Preferred Stock, when (i) the terms of the series of such shares of Preferred Stock and of their issuance and sale, and all related matters, have been duly authorized and established by all necessary corporate action, (ii) a certificate of designations (a “Certificate of Designations”) setting forth the powers, designations, preferences, rights, qualifications, limitations and restrictions of the series of such shares of Preferred Stock has been duly filed with the Secretary of State of the State of Delaware and (iii) such shares of Preferred Stock have been duly delivered to the purchasers thereof upon the payment of the consideration therefor (which consideration is not less than the par value of the Preferred Stock), will be validly issued, fully paid and non-assessable. The shares of Preferred Stock covered by the opinion in this paragraph include any shares of Preferred Stock that may be represented by Depositary Shares or that may be issued pursuant to or as part of any Stock Purchase Contracts or Stock Purchase Units or upon the conversion, exchange, exercise or otherwise pursuant to the terms of any other Securities.</w:t>
      </w:r>
    </w:p>
    <w:p>
      <w:pPr>
        <w:spacing w:after="0" w:line="144" w:lineRule="exact"/>
        <w:rPr>
          <w:sz w:val="20"/>
          <w:szCs w:val="20"/>
          <w:color w:val="auto"/>
        </w:rPr>
      </w:pPr>
    </w:p>
    <w:p>
      <w:pPr>
        <w:ind w:left="260" w:firstLine="505"/>
        <w:spacing w:after="0" w:line="255" w:lineRule="auto"/>
        <w:rPr>
          <w:sz w:val="20"/>
          <w:szCs w:val="20"/>
          <w:color w:val="auto"/>
        </w:rPr>
      </w:pPr>
      <w:r>
        <w:rPr>
          <w:rFonts w:ascii="Times New Roman" w:cs="Times New Roman" w:eastAsia="Times New Roman" w:hAnsi="Times New Roman"/>
          <w:sz w:val="14"/>
          <w:szCs w:val="14"/>
          <w:color w:val="auto"/>
        </w:rPr>
        <w:t>(8)            Any Warrants, when (i) the terms of such Warrants, of any contract governing or establishing the terms of such Warrants and of the issuance and sale of such Warrants, and all related matters have been duly authorized and established by all necessary corporate action, (ii) any contract governing or establishing the terms of such Warrants has been duly authorized, executed and delivered by the Company, (iii) the actions described in the applicable paragraph of this letter with regard to any Security to be issued upon exercise of such Warrants have been taken and (iv) such Warrants have been duly executed by the Company and countersigned in accordance with the terms of any contract governing or establishing the terms of such Warrants and duly delivered to the purchasers thereof upon the payment of the consideration therefor,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 The Warrants covered by the opinion in this paragraph include any Warrants that may be issued pursuant to or as part of any Stock Purchase Units or upon the conversion, exchange, exercise or otherwise pursuant to the terms of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209550</wp:posOffset>
            </wp:positionV>
            <wp:extent cx="71628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60"/>
          </w:cols>
          <w:pgMar w:left="300" w:top="7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ConocoPhillips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161" w:lineRule="exact"/>
        <w:rPr>
          <w:sz w:val="20"/>
          <w:szCs w:val="20"/>
          <w:color w:val="auto"/>
        </w:rPr>
      </w:pPr>
    </w:p>
    <w:p>
      <w:pPr>
        <w:ind w:left="260" w:firstLine="505"/>
        <w:spacing w:after="0" w:line="253" w:lineRule="auto"/>
        <w:rPr>
          <w:sz w:val="20"/>
          <w:szCs w:val="20"/>
          <w:color w:val="auto"/>
        </w:rPr>
      </w:pPr>
      <w:r>
        <w:rPr>
          <w:rFonts w:ascii="Times New Roman" w:cs="Times New Roman" w:eastAsia="Times New Roman" w:hAnsi="Times New Roman"/>
          <w:sz w:val="14"/>
          <w:szCs w:val="14"/>
          <w:color w:val="auto"/>
        </w:rPr>
        <w:t>(9)            Any Depositary Shares, when (i) the terms of the Depositary Shares, of any contract governing or establishing the terms of the Depositary Shares, of the related series of Preferred Stock represented by the Depositary Shares and of the issuance and sale of such Depositary Shares and such related series of Preferred Stock, and all related matters, have been duly authorized and established by all necessary corporate action, (ii) any contract governing or establishing the terms of the Depositary Shares has been duly authorized, executed and delivered by the Company, (iii) a Certificate of Designations setting forth the powers, designations, preferences, rights, qualifications, limitations and restrictions of the related series of Preferred Stock represented by the Depositary Shares has been duly filed with the Secretary of State of the State of Delaware, (iv) the shares of the related series of Preferred Stock represented by the Depositary Shares have been duly delivered to the applicable depositary and (v) depositary receipts evidencing the Depositary Shares have been duly executed by the Company and countersigned by the applicable depositary against deposit of shares of the related series of Preferred Stock represented by the Depositary Shares in accordance with the terms of any contract governing or establishing the terms of the Depositary Shares and duly delivered to the purchasers thereof upon the payment of the consideration therefor, will constitute valid and binding interests in shares of the related series of Preferred Stock represented by the Depositary Shares and will entitle the holders thereof to the rights specified in any contract governing or establishing the terms of the Depositary Shares, subject, as to the enforcement of remedies, to bankruptcy, insolvency, reorganization, moratorium and similar laws affecting the rights and remedies of creditors generally and to the effect of general principles of equity. The Depositary Shares covered by the opinion in this paragraph include any Depositary Shares that may be issued pursuant to or as part of any Stock Purchase Contracts or Stock Purchase Units or upon the conversion, exchange, exercise or otherwise pursuant to the terms of any other Securities.</w:t>
      </w:r>
    </w:p>
    <w:p>
      <w:pPr>
        <w:spacing w:after="0" w:line="152" w:lineRule="exact"/>
        <w:rPr>
          <w:sz w:val="20"/>
          <w:szCs w:val="20"/>
          <w:color w:val="auto"/>
        </w:rPr>
      </w:pPr>
    </w:p>
    <w:p>
      <w:pPr>
        <w:ind w:left="260" w:right="40" w:firstLine="505"/>
        <w:spacing w:after="0" w:line="255" w:lineRule="auto"/>
        <w:rPr>
          <w:sz w:val="20"/>
          <w:szCs w:val="20"/>
          <w:color w:val="auto"/>
        </w:rPr>
      </w:pPr>
      <w:r>
        <w:rPr>
          <w:rFonts w:ascii="Times New Roman" w:cs="Times New Roman" w:eastAsia="Times New Roman" w:hAnsi="Times New Roman"/>
          <w:sz w:val="14"/>
          <w:szCs w:val="14"/>
          <w:color w:val="auto"/>
        </w:rPr>
        <w:t>(10)          Any Stock Purchase Contracts, when (i) the terms of such Stock Purchase Contracts, of any contract governing and establishing the terms of such Stock Purchase Contracts and of the issuance and sale of such Stock Purchase Contracts, and all related matters, have been duly authorized and established by all necessary corporate action, (ii) any contract governing and establishing the terms of such Stock Purchase Contracts has been duly authorized, executed and delivered by the Company, (iii) the actions described in the applicable paragraph of this letter with regard to any Security issued as part of such Stock Purchase Contracts have been taken and (iv) such Stock Purchase Contracts have been duly executed by the Company and countersigned or authenticated (as applicable) in accordance with the terms of any contract governing or establishing the terms of such Stock Purchase Contracts and have been duly delivered to the purchasers thereof upon the payment of the consideration therefor,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 The Stock Purchase Contracts covered by the opinion in this paragraph include any Stock Purchase Contracts that may be issued as part of any Stock Purchase Units or otherwise pursuant to the terms of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1628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ConocoPhillips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161" w:lineRule="exact"/>
        <w:rPr>
          <w:sz w:val="20"/>
          <w:szCs w:val="20"/>
          <w:color w:val="auto"/>
        </w:rPr>
      </w:pPr>
    </w:p>
    <w:p>
      <w:pPr>
        <w:ind w:left="260" w:firstLine="505"/>
        <w:spacing w:after="0" w:line="255" w:lineRule="auto"/>
        <w:rPr>
          <w:sz w:val="20"/>
          <w:szCs w:val="20"/>
          <w:color w:val="auto"/>
        </w:rPr>
      </w:pPr>
      <w:r>
        <w:rPr>
          <w:rFonts w:ascii="Times New Roman" w:cs="Times New Roman" w:eastAsia="Times New Roman" w:hAnsi="Times New Roman"/>
          <w:sz w:val="14"/>
          <w:szCs w:val="14"/>
          <w:color w:val="auto"/>
        </w:rPr>
        <w:t>(11)          Any Stock Purchase Units, when (i) the terms of such Stock Purchase Units, of any contract governing and establishing the terms of such Stock Purchase Units and of the issuance and sale of such Stock Purchase Units, and all related matters, have been duly authorized and established by all necessary corporate action, (ii) any contract governing and establishing the terms of such Stock Purchase Units has been duly authorized, executed and delivered by the Company, (iii) the actions described in the applicable paragraph of this letter with regard to any Security issued as part of such Stock Purchase Units have been taken and (iv) such Stock Purchase Units have been duly executed by the Company and countersigned or authenticated (as applicable) in accordance with the terms of any contract governing or establishing the terms of such Stock Purchase Units and have been duly delivered to the purchasers thereof upon the payment of the consideration therefor,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 The Stock Purchase Units covered by the opinion in this paragraph include any Stock Purchase Units that may be issued upon the conversion, exchange, exercise or otherwise pursuant to the terms of any other Securities.</w:t>
      </w:r>
    </w:p>
    <w:p>
      <w:pPr>
        <w:spacing w:after="0" w:line="144" w:lineRule="exact"/>
        <w:rPr>
          <w:sz w:val="20"/>
          <w:szCs w:val="20"/>
          <w:color w:val="auto"/>
        </w:rPr>
      </w:pPr>
    </w:p>
    <w:p>
      <w:pPr>
        <w:jc w:val="both"/>
        <w:ind w:right="100" w:firstLine="505"/>
        <w:spacing w:after="0" w:line="267" w:lineRule="auto"/>
        <w:rPr>
          <w:sz w:val="20"/>
          <w:szCs w:val="20"/>
          <w:color w:val="auto"/>
        </w:rPr>
      </w:pPr>
      <w:r>
        <w:rPr>
          <w:rFonts w:ascii="Times New Roman" w:cs="Times New Roman" w:eastAsia="Times New Roman" w:hAnsi="Times New Roman"/>
          <w:sz w:val="14"/>
          <w:szCs w:val="14"/>
          <w:color w:val="auto"/>
        </w:rPr>
        <w:t>This opinion is limited in all respects to the laws of the State of New York and the General Corporation Law of the State of Delaware, and no opinion is expressed with respect to the laws of any other jurisdiction or any effect that such laws may have on the opinions expressed herein. This opinion is limited to the matters stated herein, and no opinion is implied or may be inferred beyond the matters expressly stated herein.</w:t>
      </w:r>
    </w:p>
    <w:p>
      <w:pPr>
        <w:spacing w:after="0" w:line="136"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Company and CPCo in connection with the matters addressed herein.</w:t>
      </w:r>
    </w:p>
    <w:p>
      <w:pPr>
        <w:spacing w:after="0" w:line="125" w:lineRule="exact"/>
        <w:rPr>
          <w:sz w:val="20"/>
          <w:szCs w:val="20"/>
          <w:color w:val="auto"/>
        </w:rPr>
      </w:pPr>
    </w:p>
    <w:p>
      <w:pPr>
        <w:ind w:right="160" w:firstLine="505"/>
        <w:spacing w:after="0" w:line="283" w:lineRule="auto"/>
        <w:rPr>
          <w:sz w:val="20"/>
          <w:szCs w:val="20"/>
          <w:color w:val="auto"/>
        </w:rPr>
      </w:pPr>
      <w:r>
        <w:rPr>
          <w:rFonts w:ascii="Times New Roman" w:cs="Times New Roman" w:eastAsia="Times New Roman" w:hAnsi="Times New Roman"/>
          <w:sz w:val="14"/>
          <w:szCs w:val="14"/>
          <w:color w:val="auto"/>
        </w:rPr>
        <w:t>We consent to the filing of this opinion as an exhibit to the Registration Statement and to the reference to us under the caption “Legal Matters” in the prospectus that forms a part thereof. In giving such consent, we do not admit that we are in the category of persons whose consent is required under Section 7 of the Securities Act.</w:t>
      </w:r>
    </w:p>
    <w:p>
      <w:pPr>
        <w:spacing w:after="0" w:line="1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1628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40"/>
          </w:cols>
          <w:pgMar w:left="300" w:top="735"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b w:val="1"/>
          <w:bCs w:val="1"/>
          <w:color w:val="auto"/>
        </w:rPr>
        <w:t>Exhibit 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SUBSIDIARY GUARANTORS OF GUARANTEED SECURITIES</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have various cross guarantees among ConocoPhillips (Delaware), ConocoPhillips Company (Delaware), and Burlington Resources LLC (Delaware)with respect to publicly held debt securities. ConocoPhillips Company is wholly owned by ConocoPhillips. Burlington Resources LLC is wholly owned by ConocoPhillips Company. Except as listed below, either ConocoPhillips or ConocoPhillips Company has fully and unconditionally guaranteed the payment obligations of Burlington Resources LLC with respect to its publicly held debt securities. Similarly, ConocoPhillips has fully and unconditionally guaranteed the payment obligations of ConocoPhillips Company with respect to its publicly held debt securities. Further, ConocoPhillips Company has fully and unconditionally guaranteed the payment obligations of ConocoPhillips with respect to its publicly held debt securities. All such guarantees are joint and several.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Issuer (I) and/or Guarantors (G), as applicable, for our outstanding publicly held debt securities.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782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Securities</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ConocoPhillips</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ConocoPhillips</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Burlington</w:t>
            </w:r>
          </w:p>
        </w:tc>
      </w:tr>
      <w:tr>
        <w:trPr>
          <w:trHeight w:val="185"/>
        </w:trPr>
        <w:tc>
          <w:tcPr>
            <w:tcW w:w="340" w:type="dxa"/>
            <w:vAlign w:val="bottom"/>
            <w:tcBorders>
              <w:left w:val="single" w:sz="8" w:color="auto"/>
            </w:tcBorders>
          </w:tcPr>
          <w:p>
            <w:pPr>
              <w:spacing w:after="0"/>
              <w:rPr>
                <w:sz w:val="16"/>
                <w:szCs w:val="16"/>
                <w:color w:val="auto"/>
              </w:rPr>
            </w:pPr>
          </w:p>
        </w:tc>
        <w:tc>
          <w:tcPr>
            <w:tcW w:w="74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Resources LLC</w:t>
            </w: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7.8%</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Debentures due 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3.75% Notes due 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2028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7.0%</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Debentures due 2029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6.95% Notes due 2029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5.3%</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2029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8.125% Notes due 2030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4.7%</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2.4%</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6.8%</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5.9%</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4.85% Notes due 2032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5.05% Notes due 2033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5.7%</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4.15% Notes due 2034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5.0%</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5.95% Notes due 2036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6.6%</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5.9%</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6.5%</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2039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3.758% Notes due 2042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2044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5.2%</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2045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5.95% Notes due 2046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7.9%</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Debentures due 2047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4.875% Notes due 2047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4.85% Notes due 2048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G</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3.8%</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2052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5.3%</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2053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5.55% Notes due 2054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2055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4.025% Notes due 2062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5.7%</w:t>
            </w:r>
          </w:p>
        </w:tc>
        <w:tc>
          <w:tcPr>
            <w:tcW w:w="7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Notes due 2063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7820" w:type="dxa"/>
            <w:vAlign w:val="bottom"/>
            <w:tcBorders>
              <w:left w:val="single" w:sz="8" w:color="auto"/>
              <w:bottom w:val="single" w:sz="8" w:color="auto"/>
              <w:right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180"/>
        </w:trPr>
        <w:tc>
          <w:tcPr>
            <w:tcW w:w="78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5.65% Notes due 2065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220" w:type="dxa"/>
            <w:vAlign w:val="bottom"/>
            <w:tcBorders>
              <w:right w:val="single" w:sz="8" w:color="auto"/>
            </w:tcBorders>
          </w:tcPr>
          <w:p>
            <w:pPr>
              <w:spacing w:after="0"/>
              <w:rPr>
                <w:sz w:val="15"/>
                <w:szCs w:val="15"/>
                <w:color w:val="auto"/>
              </w:rPr>
            </w:pPr>
          </w:p>
        </w:tc>
      </w:tr>
      <w:tr>
        <w:trPr>
          <w:trHeight w:val="63"/>
        </w:trPr>
        <w:tc>
          <w:tcPr>
            <w:tcW w:w="340" w:type="dxa"/>
            <w:vAlign w:val="bottom"/>
            <w:tcBorders>
              <w:left w:val="single" w:sz="8" w:color="auto"/>
              <w:bottom w:val="single" w:sz="8" w:color="auto"/>
            </w:tcBorders>
          </w:tcPr>
          <w:p>
            <w:pPr>
              <w:spacing w:after="0"/>
              <w:rPr>
                <w:sz w:val="5"/>
                <w:szCs w:val="5"/>
                <w:color w:val="auto"/>
              </w:rPr>
            </w:pPr>
          </w:p>
        </w:tc>
        <w:tc>
          <w:tcPr>
            <w:tcW w:w="74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517"/>
        </w:trPr>
        <w:tc>
          <w:tcPr>
            <w:tcW w:w="3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1"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this Registration Statement (Form S-3) and related Prospectus of ConocoPhillips and ConocoPhillips Company for the registration of Senior Debt Securities, Subordinated Debt Securities, Common Stock, Preferred Stock, Warrants, Depositary Shares, Stock Purchase Contracts, Stock Purchase Units, and Prepaid Stock Purchase Contracts and to the incorporation by reference therein of our reports dated February 17, 2026, with respect to the consolidated financial statements of ConocoPhillips, and the effectiveness of internal control over financial reporting of ConocoPhillips, included in its Annual Report (Form 10-K) for the year ended December 31, 2025, filed with the Securities and Exchange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1628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DeGolyer and MacNaughton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5001 Spring Valley Road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Suite 800 East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Dallas, Texas 75244</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June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ConocoPhillips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925 N. Eldridge Parkway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77079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hereby consent to the use of the name DeGolyer and MacNaughton and to references to DeGolyer and MacNaughton as an independent petroleum engineering consulting firm under the caption “Experts” in the Registration Statement on Form S-3 for the registration of debt and equity securities of ConocoPhillips and ConocoPhillips Company. We also hereby consent to the incorporation by reference in the Registration Statement on Form S-3 of our process review letter dated February 17, 2026, which appears in ConocoPhillips’ Annual Report on Form 10-K for the year ended December 31, 2025, to be filed with the United States Securities and Exchange Commission on or about June 30, 2026.</w:t>
      </w:r>
    </w:p>
    <w:p>
      <w:pPr>
        <w:spacing w:after="0" w:line="1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DeGolyer and MacNaughton</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Texas Registered Engineering Firm F-716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1628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51" w:name="page52"/>
    <w:bookmarkEnd w:id="51"/>
    <w:p>
      <w:pPr>
        <w:ind w:left="10560"/>
        <w:spacing w:after="0"/>
        <w:rPr>
          <w:sz w:val="20"/>
          <w:szCs w:val="20"/>
          <w:color w:val="auto"/>
        </w:rPr>
      </w:pPr>
      <w:r>
        <w:rPr>
          <w:rFonts w:ascii="Times New Roman" w:cs="Times New Roman" w:eastAsia="Times New Roman" w:hAnsi="Times New Roman"/>
          <w:sz w:val="13"/>
          <w:szCs w:val="13"/>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6280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71628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7"/>
                <w:szCs w:val="17"/>
                <w:color w:val="auto"/>
                <w:w w:val="96"/>
              </w:rPr>
              <w:t>UNITED STATES</w:t>
            </w:r>
          </w:p>
        </w:tc>
      </w:tr>
      <w:tr>
        <w:trPr>
          <w:trHeight w:val="189"/>
        </w:trPr>
        <w:tc>
          <w:tcPr>
            <w:tcW w:w="3120" w:type="dxa"/>
            <w:vAlign w:val="bottom"/>
          </w:tcPr>
          <w:p>
            <w:pPr>
              <w:spacing w:after="0"/>
              <w:rPr>
                <w:sz w:val="16"/>
                <w:szCs w:val="16"/>
                <w:color w:val="auto"/>
              </w:rPr>
            </w:pPr>
          </w:p>
        </w:tc>
        <w:tc>
          <w:tcPr>
            <w:tcW w:w="8180" w:type="dxa"/>
            <w:vAlign w:val="bottom"/>
            <w:gridSpan w:val="4"/>
          </w:tcPr>
          <w:p>
            <w:pPr>
              <w:jc w:val="center"/>
              <w:ind w:right="3070"/>
              <w:spacing w:after="0" w:line="189" w:lineRule="exact"/>
              <w:rPr>
                <w:sz w:val="20"/>
                <w:szCs w:val="20"/>
                <w:color w:val="auto"/>
              </w:rPr>
            </w:pPr>
            <w:r>
              <w:rPr>
                <w:rFonts w:ascii="Times New Roman" w:cs="Times New Roman" w:eastAsia="Times New Roman" w:hAnsi="Times New Roman"/>
                <w:sz w:val="17"/>
                <w:szCs w:val="17"/>
                <w:color w:val="auto"/>
                <w:w w:val="98"/>
              </w:rPr>
              <w:t>SECURITIES AND EXCHANGE COMMISSION</w:t>
            </w:r>
          </w:p>
        </w:tc>
      </w:tr>
      <w:tr>
        <w:trPr>
          <w:trHeight w:val="218"/>
        </w:trPr>
        <w:tc>
          <w:tcPr>
            <w:tcW w:w="3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7"/>
                <w:szCs w:val="17"/>
                <w:color w:val="auto"/>
                <w:w w:val="97"/>
              </w:rPr>
              <w:t>Washington, D.C. 20549</w:t>
            </w:r>
          </w:p>
        </w:tc>
      </w:tr>
      <w:tr>
        <w:trPr>
          <w:trHeight w:val="379"/>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7"/>
                <w:szCs w:val="17"/>
                <w:color w:val="auto"/>
                <w:w w:val="96"/>
              </w:rPr>
              <w:t>FORM T-1</w:t>
            </w:r>
          </w:p>
        </w:tc>
      </w:tr>
      <w:tr>
        <w:trPr>
          <w:trHeight w:val="335"/>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8"/>
              </w:rPr>
              <w:t>STATEMENT OF ELIGIBILITY</w:t>
            </w:r>
          </w:p>
        </w:tc>
      </w:tr>
      <w:tr>
        <w:trPr>
          <w:trHeight w:val="168"/>
        </w:trPr>
        <w:tc>
          <w:tcPr>
            <w:tcW w:w="3120" w:type="dxa"/>
            <w:vAlign w:val="bottom"/>
          </w:tcPr>
          <w:p>
            <w:pPr>
              <w:spacing w:after="0"/>
              <w:rPr>
                <w:sz w:val="14"/>
                <w:szCs w:val="14"/>
                <w:color w:val="auto"/>
              </w:rPr>
            </w:pPr>
          </w:p>
        </w:tc>
        <w:tc>
          <w:tcPr>
            <w:tcW w:w="8180" w:type="dxa"/>
            <w:vAlign w:val="bottom"/>
            <w:gridSpan w:val="4"/>
          </w:tcPr>
          <w:p>
            <w:pPr>
              <w:jc w:val="center"/>
              <w:ind w:right="3050"/>
              <w:spacing w:after="0"/>
              <w:rPr>
                <w:sz w:val="20"/>
                <w:szCs w:val="20"/>
                <w:color w:val="auto"/>
              </w:rPr>
            </w:pPr>
            <w:r>
              <w:rPr>
                <w:rFonts w:ascii="Times New Roman" w:cs="Times New Roman" w:eastAsia="Times New Roman" w:hAnsi="Times New Roman"/>
                <w:sz w:val="14"/>
                <w:szCs w:val="14"/>
                <w:color w:val="auto"/>
              </w:rPr>
              <w:t>UNDER THE TRUST INDENTURE ACT OF 1939 OF A</w:t>
            </w:r>
          </w:p>
        </w:tc>
      </w:tr>
      <w:tr>
        <w:trPr>
          <w:trHeight w:val="183"/>
        </w:trPr>
        <w:tc>
          <w:tcPr>
            <w:tcW w:w="3120" w:type="dxa"/>
            <w:vAlign w:val="bottom"/>
          </w:tcPr>
          <w:p>
            <w:pPr>
              <w:spacing w:after="0"/>
              <w:rPr>
                <w:sz w:val="15"/>
                <w:szCs w:val="15"/>
                <w:color w:val="auto"/>
              </w:rPr>
            </w:pPr>
          </w:p>
        </w:tc>
        <w:tc>
          <w:tcPr>
            <w:tcW w:w="8180" w:type="dxa"/>
            <w:vAlign w:val="bottom"/>
            <w:gridSpan w:val="4"/>
          </w:tcPr>
          <w:p>
            <w:pPr>
              <w:jc w:val="center"/>
              <w:ind w:right="3070"/>
              <w:spacing w:after="0"/>
              <w:rPr>
                <w:sz w:val="20"/>
                <w:szCs w:val="20"/>
                <w:color w:val="auto"/>
              </w:rPr>
            </w:pPr>
            <w:r>
              <w:rPr>
                <w:rFonts w:ascii="Times New Roman" w:cs="Times New Roman" w:eastAsia="Times New Roman" w:hAnsi="Times New Roman"/>
                <w:sz w:val="14"/>
                <w:szCs w:val="14"/>
                <w:color w:val="auto"/>
                <w:w w:val="98"/>
              </w:rPr>
              <w:t>CORPORATION DESIGNATED TO ACT AS TRUSTEE</w:t>
            </w:r>
          </w:p>
        </w:tc>
      </w:tr>
      <w:tr>
        <w:trPr>
          <w:trHeight w:val="322"/>
        </w:trPr>
        <w:tc>
          <w:tcPr>
            <w:tcW w:w="3120" w:type="dxa"/>
            <w:vAlign w:val="bottom"/>
          </w:tcPr>
          <w:p>
            <w:pPr>
              <w:spacing w:after="0"/>
              <w:rPr>
                <w:sz w:val="24"/>
                <w:szCs w:val="24"/>
                <w:color w:val="auto"/>
              </w:rPr>
            </w:pPr>
          </w:p>
        </w:tc>
        <w:tc>
          <w:tcPr>
            <w:tcW w:w="8180" w:type="dxa"/>
            <w:vAlign w:val="bottom"/>
            <w:gridSpan w:val="4"/>
          </w:tcPr>
          <w:p>
            <w:pPr>
              <w:jc w:val="center"/>
              <w:ind w:right="3070"/>
              <w:spacing w:after="0"/>
              <w:rPr>
                <w:sz w:val="20"/>
                <w:szCs w:val="20"/>
                <w:color w:val="auto"/>
              </w:rPr>
            </w:pPr>
            <w:r>
              <w:rPr>
                <w:rFonts w:ascii="Times New Roman" w:cs="Times New Roman" w:eastAsia="Times New Roman" w:hAnsi="Times New Roman"/>
                <w:sz w:val="14"/>
                <w:szCs w:val="14"/>
                <w:color w:val="auto"/>
                <w:w w:val="99"/>
              </w:rPr>
              <w:t>CHECK IF AN APPLICATION TO DETERMINE</w:t>
            </w:r>
          </w:p>
        </w:tc>
      </w:tr>
      <w:tr>
        <w:trPr>
          <w:trHeight w:val="141"/>
        </w:trPr>
        <w:tc>
          <w:tcPr>
            <w:tcW w:w="3120" w:type="dxa"/>
            <w:vAlign w:val="bottom"/>
          </w:tcPr>
          <w:p>
            <w:pPr>
              <w:spacing w:after="0"/>
              <w:rPr>
                <w:sz w:val="12"/>
                <w:szCs w:val="12"/>
                <w:color w:val="auto"/>
              </w:rPr>
            </w:pPr>
          </w:p>
        </w:tc>
        <w:tc>
          <w:tcPr>
            <w:tcW w:w="8180" w:type="dxa"/>
            <w:vAlign w:val="bottom"/>
            <w:gridSpan w:val="4"/>
          </w:tcPr>
          <w:p>
            <w:pPr>
              <w:jc w:val="center"/>
              <w:ind w:right="3050"/>
              <w:spacing w:after="0" w:line="141" w:lineRule="exact"/>
              <w:rPr>
                <w:sz w:val="20"/>
                <w:szCs w:val="20"/>
                <w:color w:val="auto"/>
              </w:rPr>
            </w:pPr>
            <w:r>
              <w:rPr>
                <w:rFonts w:ascii="Times New Roman" w:cs="Times New Roman" w:eastAsia="Times New Roman" w:hAnsi="Times New Roman"/>
                <w:sz w:val="14"/>
                <w:szCs w:val="14"/>
                <w:color w:val="auto"/>
              </w:rPr>
              <w:t>ELIGIBILITY OF A TRUSTEE PURSUANT TO</w:t>
            </w:r>
          </w:p>
        </w:tc>
      </w:tr>
      <w:tr>
        <w:trPr>
          <w:trHeight w:val="236"/>
        </w:trPr>
        <w:tc>
          <w:tcPr>
            <w:tcW w:w="3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60" w:type="dxa"/>
            <w:vAlign w:val="bottom"/>
            <w:gridSpan w:val="3"/>
          </w:tcPr>
          <w:p>
            <w:pPr>
              <w:jc w:val="center"/>
              <w:ind w:right="4170"/>
              <w:spacing w:after="0" w:line="161" w:lineRule="exact"/>
              <w:rPr>
                <w:sz w:val="20"/>
                <w:szCs w:val="20"/>
                <w:color w:val="auto"/>
              </w:rPr>
            </w:pPr>
            <w:r>
              <w:rPr>
                <w:rFonts w:ascii="Times New Roman" w:cs="Times New Roman" w:eastAsia="Times New Roman" w:hAnsi="Times New Roman"/>
                <w:sz w:val="14"/>
                <w:szCs w:val="14"/>
                <w:color w:val="auto"/>
                <w:w w:val="92"/>
              </w:rPr>
              <w:t xml:space="preserve">SECTION 305(b)(2)           </w:t>
            </w:r>
            <w:r>
              <w:rPr>
                <w:rFonts w:ascii="MS PGothic" w:cs="MS PGothic" w:eastAsia="MS PGothic" w:hAnsi="MS PGothic"/>
                <w:sz w:val="14"/>
                <w:szCs w:val="14"/>
                <w:color w:val="auto"/>
                <w:w w:val="92"/>
              </w:rPr>
              <w:t>☐</w:t>
            </w:r>
          </w:p>
        </w:tc>
      </w:tr>
      <w:tr>
        <w:trPr>
          <w:trHeight w:val="143"/>
        </w:trPr>
        <w:tc>
          <w:tcPr>
            <w:tcW w:w="3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32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9"/>
              </w:rPr>
              <w:t>THE BANK OF NEW YORK MELLON</w:t>
            </w:r>
          </w:p>
        </w:tc>
      </w:tr>
      <w:tr>
        <w:trPr>
          <w:trHeight w:val="168"/>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w w:val="98"/>
              </w:rPr>
              <w:t>TRUST COMPANY, N.A.</w:t>
            </w:r>
          </w:p>
        </w:tc>
      </w:tr>
      <w:tr>
        <w:trPr>
          <w:trHeight w:val="183"/>
        </w:trPr>
        <w:tc>
          <w:tcPr>
            <w:tcW w:w="3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68"/>
        </w:trPr>
        <w:tc>
          <w:tcPr>
            <w:tcW w:w="31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gridSpan w:val="3"/>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r>
        <w:trPr>
          <w:trHeight w:val="144"/>
        </w:trPr>
        <w:tc>
          <w:tcPr>
            <w:tcW w:w="3120" w:type="dxa"/>
            <w:vAlign w:val="bottom"/>
            <w:tcBorders>
              <w:left w:val="single" w:sz="8" w:color="auto"/>
            </w:tcBorders>
          </w:tcPr>
          <w:p>
            <w:pPr>
              <w:spacing w:after="0"/>
              <w:rPr>
                <w:sz w:val="12"/>
                <w:szCs w:val="12"/>
                <w:color w:val="auto"/>
              </w:rPr>
            </w:pPr>
          </w:p>
        </w:tc>
        <w:tc>
          <w:tcPr>
            <w:tcW w:w="4580" w:type="dxa"/>
            <w:vAlign w:val="bottom"/>
            <w:tcBorders>
              <w:right w:val="single" w:sz="8" w:color="auto"/>
            </w:tcBorders>
            <w:gridSpan w:val="3"/>
          </w:tcPr>
          <w:p>
            <w:pPr>
              <w:spacing w:after="0"/>
              <w:rPr>
                <w:sz w:val="12"/>
                <w:szCs w:val="12"/>
                <w:color w:val="auto"/>
              </w:rPr>
            </w:pPr>
          </w:p>
        </w:tc>
        <w:tc>
          <w:tcPr>
            <w:tcW w:w="360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95-3571558</w:t>
            </w:r>
          </w:p>
        </w:tc>
      </w:tr>
      <w:tr>
        <w:trPr>
          <w:trHeight w:val="168"/>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1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2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144"/>
        </w:trPr>
        <w:tc>
          <w:tcPr>
            <w:tcW w:w="312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333 South Hope Street</w:t>
            </w:r>
          </w:p>
        </w:tc>
        <w:tc>
          <w:tcPr>
            <w:tcW w:w="1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68"/>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spacing w:after="0"/>
              <w:rPr>
                <w:sz w:val="14"/>
                <w:szCs w:val="14"/>
                <w:color w:val="auto"/>
              </w:rPr>
            </w:pPr>
          </w:p>
        </w:tc>
      </w:tr>
      <w:tr>
        <w:trPr>
          <w:trHeight w:val="168"/>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4580" w:type="dxa"/>
            <w:vAlign w:val="bottom"/>
            <w:tcBorders>
              <w:right w:val="single" w:sz="8" w:color="auto"/>
            </w:tcBorders>
            <w:gridSpan w:val="3"/>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90071</w:t>
            </w:r>
          </w:p>
        </w:tc>
      </w:tr>
      <w:tr>
        <w:trPr>
          <w:trHeight w:val="183"/>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2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gridSpan w:val="2"/>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31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w w:val="99"/>
              </w:rPr>
              <w:t>ConocoPhillips</w:t>
            </w:r>
          </w:p>
        </w:tc>
      </w:tr>
      <w:tr>
        <w:trPr>
          <w:trHeight w:val="183"/>
        </w:trPr>
        <w:tc>
          <w:tcPr>
            <w:tcW w:w="3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312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gridSpan w:val="4"/>
          </w:tcPr>
          <w:p>
            <w:pPr>
              <w:spacing w:after="0"/>
              <w:rPr>
                <w:sz w:val="14"/>
                <w:szCs w:val="14"/>
                <w:color w:val="auto"/>
              </w:rPr>
            </w:pPr>
          </w:p>
        </w:tc>
      </w:tr>
      <w:tr>
        <w:trPr>
          <w:trHeight w:val="144"/>
        </w:trPr>
        <w:tc>
          <w:tcPr>
            <w:tcW w:w="312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Delaware</w:t>
            </w:r>
          </w:p>
        </w:tc>
        <w:tc>
          <w:tcPr>
            <w:tcW w:w="4580" w:type="dxa"/>
            <w:vAlign w:val="bottom"/>
            <w:tcBorders>
              <w:right w:val="single" w:sz="8" w:color="auto"/>
            </w:tcBorders>
            <w:gridSpan w:val="3"/>
          </w:tcPr>
          <w:p>
            <w:pPr>
              <w:spacing w:after="0"/>
              <w:rPr>
                <w:sz w:val="12"/>
                <w:szCs w:val="12"/>
                <w:color w:val="auto"/>
              </w:rPr>
            </w:pPr>
          </w:p>
        </w:tc>
        <w:tc>
          <w:tcPr>
            <w:tcW w:w="360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01-562944</w:t>
            </w:r>
          </w:p>
        </w:tc>
      </w:tr>
      <w:tr>
        <w:trPr>
          <w:trHeight w:val="168"/>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2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144"/>
        </w:trPr>
        <w:tc>
          <w:tcPr>
            <w:tcW w:w="312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925 N. Eldridge Parkway</w:t>
            </w:r>
          </w:p>
        </w:tc>
        <w:tc>
          <w:tcPr>
            <w:tcW w:w="1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68"/>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4580" w:type="dxa"/>
            <w:vAlign w:val="bottom"/>
            <w:tcBorders>
              <w:right w:val="single" w:sz="8" w:color="auto"/>
            </w:tcBorders>
            <w:gridSpan w:val="3"/>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77079</w:t>
            </w:r>
          </w:p>
        </w:tc>
      </w:tr>
      <w:tr>
        <w:trPr>
          <w:trHeight w:val="183"/>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2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gridSpan w:val="2"/>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31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9"/>
              </w:rPr>
              <w:t>ConocoPhillips Company</w:t>
            </w:r>
          </w:p>
        </w:tc>
      </w:tr>
      <w:tr>
        <w:trPr>
          <w:trHeight w:val="183"/>
        </w:trPr>
        <w:tc>
          <w:tcPr>
            <w:tcW w:w="3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312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gridSpan w:val="4"/>
          </w:tcPr>
          <w:p>
            <w:pPr>
              <w:spacing w:after="0"/>
              <w:rPr>
                <w:sz w:val="14"/>
                <w:szCs w:val="14"/>
                <w:color w:val="auto"/>
              </w:rPr>
            </w:pPr>
          </w:p>
        </w:tc>
      </w:tr>
      <w:tr>
        <w:trPr>
          <w:trHeight w:val="144"/>
        </w:trPr>
        <w:tc>
          <w:tcPr>
            <w:tcW w:w="312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Delaware</w:t>
            </w:r>
          </w:p>
        </w:tc>
        <w:tc>
          <w:tcPr>
            <w:tcW w:w="4580" w:type="dxa"/>
            <w:vAlign w:val="bottom"/>
            <w:tcBorders>
              <w:right w:val="single" w:sz="8" w:color="auto"/>
            </w:tcBorders>
            <w:gridSpan w:val="3"/>
          </w:tcPr>
          <w:p>
            <w:pPr>
              <w:spacing w:after="0"/>
              <w:rPr>
                <w:sz w:val="12"/>
                <w:szCs w:val="12"/>
                <w:color w:val="auto"/>
              </w:rPr>
            </w:pPr>
          </w:p>
        </w:tc>
        <w:tc>
          <w:tcPr>
            <w:tcW w:w="360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73-0400345</w:t>
            </w:r>
          </w:p>
        </w:tc>
      </w:tr>
      <w:tr>
        <w:trPr>
          <w:trHeight w:val="168"/>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2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144"/>
        </w:trPr>
        <w:tc>
          <w:tcPr>
            <w:tcW w:w="312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925 N. Eldridge Parkway</w:t>
            </w:r>
          </w:p>
        </w:tc>
        <w:tc>
          <w:tcPr>
            <w:tcW w:w="1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68"/>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4580" w:type="dxa"/>
            <w:vAlign w:val="bottom"/>
            <w:tcBorders>
              <w:right w:val="single" w:sz="8" w:color="auto"/>
            </w:tcBorders>
            <w:gridSpan w:val="3"/>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77079</w:t>
            </w:r>
          </w:p>
        </w:tc>
      </w:tr>
      <w:tr>
        <w:trPr>
          <w:trHeight w:val="183"/>
        </w:trPr>
        <w:tc>
          <w:tcPr>
            <w:tcW w:w="31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2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gridSpan w:val="2"/>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31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w w:val="99"/>
              </w:rPr>
              <w:t>Senior Debt Securities</w:t>
            </w:r>
          </w:p>
        </w:tc>
      </w:tr>
      <w:tr>
        <w:trPr>
          <w:trHeight w:val="168"/>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rPr>
              <w:t>and Guarantees of Senior Debt Securities</w:t>
            </w:r>
          </w:p>
        </w:tc>
      </w:tr>
      <w:tr>
        <w:trPr>
          <w:trHeight w:val="183"/>
        </w:trPr>
        <w:tc>
          <w:tcPr>
            <w:tcW w:w="3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9"/>
              </w:rPr>
              <w:t>(Title of the indenture securities)</w:t>
            </w:r>
          </w:p>
        </w:tc>
      </w:tr>
      <w:tr>
        <w:trPr>
          <w:trHeight w:val="168"/>
        </w:trPr>
        <w:tc>
          <w:tcPr>
            <w:tcW w:w="3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340"/>
        </w:trPr>
        <w:tc>
          <w:tcPr>
            <w:tcW w:w="3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2" w:right="31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General information. Furnish the following information as to the trustee:</w:t>
            </w:r>
          </w:p>
        </w:tc>
        <w:tc>
          <w:tcPr>
            <w:tcW w:w="4900" w:type="dxa"/>
            <w:vAlign w:val="bottom"/>
          </w:tcPr>
          <w:p>
            <w:pPr>
              <w:spacing w:after="0"/>
              <w:rPr>
                <w:sz w:val="16"/>
                <w:szCs w:val="16"/>
                <w:color w:val="auto"/>
              </w:rPr>
            </w:pPr>
          </w:p>
        </w:tc>
      </w:tr>
      <w:tr>
        <w:trPr>
          <w:trHeight w:val="337"/>
        </w:trPr>
        <w:tc>
          <w:tcPr>
            <w:tcW w:w="8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(a)</w:t>
            </w:r>
          </w:p>
        </w:tc>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tc>
        <w:tc>
          <w:tcPr>
            <w:tcW w:w="4900" w:type="dxa"/>
            <w:vAlign w:val="bottom"/>
          </w:tcPr>
          <w:p>
            <w:pPr>
              <w:spacing w:after="0"/>
              <w:rPr>
                <w:sz w:val="24"/>
                <w:szCs w:val="24"/>
                <w:color w:val="auto"/>
              </w:rPr>
            </w:pPr>
          </w:p>
        </w:tc>
      </w:tr>
      <w:tr>
        <w:trPr>
          <w:trHeight w:val="168"/>
        </w:trPr>
        <w:tc>
          <w:tcPr>
            <w:tcW w:w="84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r>
      <w:tr>
        <w:trPr>
          <w:trHeight w:val="243"/>
        </w:trPr>
        <w:tc>
          <w:tcPr>
            <w:tcW w:w="840" w:type="dxa"/>
            <w:vAlign w:val="bottom"/>
          </w:tcPr>
          <w:p>
            <w:pPr>
              <w:spacing w:after="0"/>
              <w:rPr>
                <w:sz w:val="21"/>
                <w:szCs w:val="21"/>
                <w:color w:val="auto"/>
              </w:rPr>
            </w:pPr>
          </w:p>
        </w:tc>
        <w:tc>
          <w:tcPr>
            <w:tcW w:w="55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Name</w:t>
            </w:r>
          </w:p>
        </w:tc>
        <w:tc>
          <w:tcPr>
            <w:tcW w:w="49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Address</w:t>
            </w:r>
          </w:p>
        </w:tc>
      </w:tr>
      <w:tr>
        <w:trPr>
          <w:trHeight w:val="84"/>
        </w:trPr>
        <w:tc>
          <w:tcPr>
            <w:tcW w:w="6380" w:type="dxa"/>
            <w:vAlign w:val="bottom"/>
            <w:tcBorders>
              <w:bottom w:val="single" w:sz="8" w:color="auto"/>
            </w:tcBorders>
            <w:gridSpan w:val="2"/>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r>
      <w:tr>
        <w:trPr>
          <w:trHeight w:val="144"/>
        </w:trPr>
        <w:tc>
          <w:tcPr>
            <w:tcW w:w="6380" w:type="dxa"/>
            <w:vAlign w:val="bottom"/>
            <w:gridSpan w:val="2"/>
          </w:tcPr>
          <w:p>
            <w:pPr>
              <w:ind w:left="520"/>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490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4900" w:type="dxa"/>
            <w:vAlign w:val="bottom"/>
          </w:tcPr>
          <w:p>
            <w:pPr>
              <w:spacing w:after="0"/>
              <w:rPr>
                <w:sz w:val="15"/>
                <w:szCs w:val="15"/>
                <w:color w:val="auto"/>
              </w:rPr>
            </w:pPr>
          </w:p>
        </w:tc>
      </w:tr>
      <w:tr>
        <w:trPr>
          <w:trHeight w:val="337"/>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Federal Reserve Bank</w:t>
            </w:r>
          </w:p>
        </w:tc>
        <w:tc>
          <w:tcPr>
            <w:tcW w:w="4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7"/>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Federal Deposit Insurance Corporation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52" w:lineRule="exact"/>
        <w:rPr>
          <w:sz w:val="20"/>
          <w:szCs w:val="20"/>
          <w:color w:val="auto"/>
        </w:rPr>
      </w:pPr>
    </w:p>
    <w:p>
      <w:pPr>
        <w:ind w:left="1020" w:hanging="511"/>
        <w:spacing w:after="0"/>
        <w:tabs>
          <w:tab w:leader="none" w:pos="10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Yes.</w:t>
      </w:r>
    </w:p>
    <w:p>
      <w:pPr>
        <w:spacing w:after="0" w:line="174" w:lineRule="exact"/>
        <w:rPr>
          <w:sz w:val="20"/>
          <w:szCs w:val="20"/>
          <w:color w:val="auto"/>
        </w:rPr>
      </w:pPr>
    </w:p>
    <w:p>
      <w:pPr>
        <w:ind w:left="500" w:hanging="496"/>
        <w:spacing w:after="0"/>
        <w:tabs>
          <w:tab w:leader="none" w:pos="50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500" w:hanging="496"/>
        <w:spacing w:after="0"/>
        <w:tabs>
          <w:tab w:leader="none" w:pos="50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rFonts w:ascii="Times New Roman" w:cs="Times New Roman" w:eastAsia="Times New Roman" w:hAnsi="Times New Roman"/>
          <w:sz w:val="14"/>
          <w:szCs w:val="14"/>
          <w:b w:val="1"/>
          <w:bCs w:val="1"/>
          <w:color w:val="auto"/>
        </w:rPr>
      </w:pPr>
    </w:p>
    <w:p>
      <w:pPr>
        <w:ind w:left="5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3" w:lineRule="exact"/>
        <w:rPr>
          <w:rFonts w:ascii="Times New Roman" w:cs="Times New Roman" w:eastAsia="Times New Roman" w:hAnsi="Times New Roman"/>
          <w:sz w:val="14"/>
          <w:szCs w:val="14"/>
          <w:b w:val="1"/>
          <w:bCs w:val="1"/>
          <w:color w:val="auto"/>
        </w:rPr>
      </w:pPr>
    </w:p>
    <w:p>
      <w:pPr>
        <w:ind w:left="1020" w:hanging="511"/>
        <w:spacing w:after="0" w:line="283" w:lineRule="auto"/>
        <w:tabs>
          <w:tab w:leader="none" w:pos="102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7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44" w:lineRule="exact"/>
        <w:rPr>
          <w:rFonts w:ascii="Times New Roman" w:cs="Times New Roman" w:eastAsia="Times New Roman" w:hAnsi="Times New Roman"/>
          <w:sz w:val="14"/>
          <w:szCs w:val="14"/>
          <w:color w:val="auto"/>
        </w:rPr>
      </w:pPr>
    </w:p>
    <w:p>
      <w:pPr>
        <w:ind w:left="5600" w:hanging="73"/>
        <w:spacing w:after="0"/>
        <w:tabs>
          <w:tab w:leader="none" w:pos="560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3" w:name="page54"/>
    <w:bookmarkEnd w:id="53"/>
    <w:p>
      <w:pPr>
        <w:ind w:left="511" w:hanging="511"/>
        <w:spacing w:after="0"/>
        <w:tabs>
          <w:tab w:leader="none" w:pos="51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76" w:lineRule="exact"/>
        <w:rPr>
          <w:sz w:val="20"/>
          <w:szCs w:val="20"/>
          <w:color w:val="auto"/>
        </w:rPr>
      </w:pPr>
    </w:p>
    <w:p>
      <w:pPr>
        <w:ind w:left="511" w:hanging="511"/>
        <w:spacing w:after="0"/>
        <w:tabs>
          <w:tab w:leader="none" w:pos="511"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511" w:hanging="511"/>
        <w:spacing w:after="0"/>
        <w:tabs>
          <w:tab w:leader="none" w:pos="511"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3"/>
          <w:szCs w:val="13"/>
          <w:color w:val="auto"/>
        </w:rPr>
      </w:pPr>
    </w:p>
    <w:p>
      <w:pPr>
        <w:ind w:left="5091" w:hanging="73"/>
        <w:spacing w:after="0"/>
        <w:tabs>
          <w:tab w:leader="none" w:pos="5091"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71628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650"/>
          </w:cols>
          <w:pgMar w:left="809" w:top="735"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7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25th day of June, 2026.</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7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Peggy Guel</w:t>
      </w:r>
    </w:p>
    <w:p>
      <w:pPr>
        <w:spacing w:after="0" w:line="22"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Name:</w:t>
        <w:tab/>
        <w:t>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7</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 the close of business March 31, 2026, published in accordance with Federal regulatory authority instructions.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Dollar amounts</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in thousands</w:t>
            </w:r>
          </w:p>
        </w:tc>
        <w:tc>
          <w:tcPr>
            <w:tcW w:w="0" w:type="dxa"/>
            <w:vAlign w:val="bottom"/>
          </w:tcPr>
          <w:p>
            <w:pPr>
              <w:spacing w:after="0"/>
              <w:rPr>
                <w:sz w:val="1"/>
                <w:szCs w:val="1"/>
                <w:color w:val="auto"/>
              </w:rPr>
            </w:pPr>
          </w:p>
        </w:tc>
      </w:tr>
      <w:tr>
        <w:trPr>
          <w:trHeight w:val="139"/>
        </w:trPr>
        <w:tc>
          <w:tcPr>
            <w:tcW w:w="494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ASSETS</w:t>
            </w:r>
          </w:p>
        </w:tc>
        <w:tc>
          <w:tcPr>
            <w:tcW w:w="49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20" w:type="dxa"/>
            <w:vAlign w:val="bottom"/>
            <w:tcBorders>
              <w:top w:val="single" w:sz="8" w:color="auto"/>
            </w:tcBorders>
          </w:tcPr>
          <w:p>
            <w:pPr>
              <w:spacing w:after="0"/>
              <w:rPr>
                <w:sz w:val="15"/>
                <w:szCs w:val="15"/>
                <w:color w:val="auto"/>
              </w:rPr>
            </w:pPr>
          </w:p>
        </w:tc>
        <w:tc>
          <w:tcPr>
            <w:tcW w:w="4420" w:type="dxa"/>
            <w:vAlign w:val="bottom"/>
            <w:tcBorders>
              <w:top w:val="single" w:sz="8" w:color="CCEEFF"/>
            </w:tcBorders>
          </w:tcPr>
          <w:p>
            <w:pPr>
              <w:spacing w:after="0"/>
              <w:rPr>
                <w:sz w:val="15"/>
                <w:szCs w:val="15"/>
                <w:color w:val="auto"/>
              </w:rPr>
            </w:pPr>
          </w:p>
        </w:tc>
        <w:tc>
          <w:tcPr>
            <w:tcW w:w="49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42,494</w:t>
            </w: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balances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99,817</w:t>
            </w: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12,469</w:t>
            </w: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117,808</w:t>
            </w:r>
          </w:p>
        </w:tc>
        <w:tc>
          <w:tcPr>
            <w:tcW w:w="0" w:type="dxa"/>
            <w:vAlign w:val="bottom"/>
          </w:tcPr>
          <w:p>
            <w:pPr>
              <w:spacing w:after="0"/>
              <w:rPr>
                <w:sz w:val="1"/>
                <w:szCs w:val="1"/>
                <w:color w:val="auto"/>
              </w:rPr>
            </w:pPr>
          </w:p>
        </w:tc>
      </w:tr>
      <w:tr>
        <w:trPr>
          <w:trHeight w:val="159"/>
        </w:trPr>
        <w:tc>
          <w:tcPr>
            <w:tcW w:w="5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900" w:type="dxa"/>
            <w:vAlign w:val="bottom"/>
            <w:vMerge w:val="restart"/>
          </w:tcPr>
          <w:p>
            <w:pPr>
              <w:jc w:val="right"/>
              <w:ind w:right="409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22" w:right="31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7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 domestic offices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Noninterest-bearing</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Interest-bearing    </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277,214</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278,285</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984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7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108,610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1,003,856</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1,113,451</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1,113,451</w:t>
            </w:r>
          </w:p>
        </w:tc>
        <w:tc>
          <w:tcPr>
            <w:tcW w:w="100" w:type="dxa"/>
            <w:vAlign w:val="bottom"/>
            <w:shd w:val="clear" w:color="auto" w:fill="CCEEFF"/>
          </w:tcPr>
          <w:p>
            <w:pPr>
              <w:spacing w:after="0"/>
              <w:rPr>
                <w:sz w:val="15"/>
                <w:szCs w:val="15"/>
                <w:color w:val="auto"/>
              </w:rPr>
            </w:pPr>
          </w:p>
        </w:tc>
      </w:tr>
      <w:tr>
        <w:trPr>
          <w:trHeight w:val="16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1,391,736</w:t>
            </w:r>
          </w:p>
        </w:tc>
        <w:tc>
          <w:tcPr>
            <w:tcW w:w="1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5" w:lineRule="exact"/>
        <w:rPr>
          <w:sz w:val="20"/>
          <w:szCs w:val="20"/>
          <w:color w:val="auto"/>
        </w:rPr>
      </w:pPr>
    </w:p>
    <w:p>
      <w:pPr>
        <w:ind w:left="500"/>
        <w:spacing w:after="0"/>
        <w:tabs>
          <w:tab w:leader="none" w:pos="1500" w:val="left"/>
          <w:tab w:leader="none" w:pos="2000" w:val="left"/>
        </w:tabs>
        <w:rPr>
          <w:sz w:val="20"/>
          <w:szCs w:val="20"/>
          <w:color w:val="auto"/>
        </w:rPr>
      </w:pPr>
      <w:r>
        <w:rPr>
          <w:rFonts w:ascii="Times New Roman" w:cs="Times New Roman" w:eastAsia="Times New Roman" w:hAnsi="Times New Roman"/>
          <w:sz w:val="14"/>
          <w:szCs w:val="14"/>
          <w:color w:val="auto"/>
        </w:rPr>
        <w:t>Natalie Bobnar</w:t>
        <w:tab/>
        <w:t>)</w:t>
      </w:r>
      <w:r>
        <w:rPr>
          <w:sz w:val="20"/>
          <w:szCs w:val="20"/>
          <w:color w:val="auto"/>
        </w:rPr>
        <w:tab/>
      </w:r>
      <w:r>
        <w:rPr>
          <w:rFonts w:ascii="Times New Roman" w:cs="Times New Roman" w:eastAsia="Times New Roman" w:hAnsi="Times New Roman"/>
          <w:sz w:val="14"/>
          <w:szCs w:val="14"/>
          <w:color w:val="auto"/>
        </w:rPr>
        <w:t>CFO</w:t>
      </w:r>
    </w:p>
    <w:p>
      <w:pPr>
        <w:spacing w:after="0" w:line="176" w:lineRule="exact"/>
        <w:rPr>
          <w:sz w:val="20"/>
          <w:szCs w:val="20"/>
          <w:color w:val="auto"/>
        </w:rPr>
      </w:pPr>
    </w:p>
    <w:p>
      <w:pPr>
        <w:ind w:right="20" w:firstLine="505"/>
        <w:spacing w:after="0" w:line="283"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280"/>
          </w:cols>
          <w:pgMar w:left="300" w:top="757" w:right="319" w:bottom="1440" w:gutter="0" w:footer="0" w:header="0"/>
        </w:sectPr>
      </w:pP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Elizabeth Lyndon, Managing Director</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Kevin C. Weeks, President</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Directors (Trustees)</w:t>
      </w:r>
    </w:p>
    <w:p>
      <w:pPr>
        <w:spacing w:after="0" w:line="394" w:lineRule="exact"/>
        <w:rPr>
          <w:sz w:val="20"/>
          <w:szCs w:val="20"/>
          <w:color w:val="auto"/>
        </w:rPr>
      </w:pPr>
    </w:p>
    <w:p>
      <w:pPr>
        <w:sectPr>
          <w:pgSz w:w="11900" w:h="16838" w:orient="portrait"/>
          <w:cols w:equalWidth="0" w:num="3">
            <w:col w:w="2700" w:space="340"/>
            <w:col w:w="40" w:space="460"/>
            <w:col w:w="7740"/>
          </w:cols>
          <w:pgMar w:left="300" w:top="757" w:right="319" w:bottom="1440" w:gutter="0" w:footer="0" w:header="0"/>
          <w:type w:val="continuous"/>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type w:val="continuous"/>
        </w:sectPr>
      </w:pPr>
    </w:p>
    <w:bookmarkStart w:id="57" w:name="page58"/>
    <w:bookmarkEnd w:id="57"/>
    <w:p>
      <w:pPr>
        <w:ind w:left="10560"/>
        <w:spacing w:after="0"/>
        <w:rPr>
          <w:sz w:val="20"/>
          <w:szCs w:val="20"/>
          <w:color w:val="auto"/>
        </w:rPr>
      </w:pPr>
      <w:r>
        <w:rPr>
          <w:rFonts w:ascii="Times New Roman" w:cs="Times New Roman" w:eastAsia="Times New Roman" w:hAnsi="Times New Roman"/>
          <w:sz w:val="13"/>
          <w:szCs w:val="13"/>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6280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716280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7"/>
              </w:rPr>
              <w:t>UNITED STATES</w:t>
            </w:r>
          </w:p>
        </w:tc>
      </w:tr>
      <w:tr>
        <w:trPr>
          <w:trHeight w:val="168"/>
        </w:trPr>
        <w:tc>
          <w:tcPr>
            <w:tcW w:w="3160" w:type="dxa"/>
            <w:vAlign w:val="bottom"/>
          </w:tcPr>
          <w:p>
            <w:pPr>
              <w:spacing w:after="0"/>
              <w:rPr>
                <w:sz w:val="14"/>
                <w:szCs w:val="14"/>
                <w:color w:val="auto"/>
              </w:rPr>
            </w:pPr>
          </w:p>
        </w:tc>
        <w:tc>
          <w:tcPr>
            <w:tcW w:w="8140" w:type="dxa"/>
            <w:vAlign w:val="bottom"/>
            <w:gridSpan w:val="4"/>
          </w:tcPr>
          <w:p>
            <w:pPr>
              <w:jc w:val="center"/>
              <w:ind w:right="311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w w:val="98"/>
              </w:rPr>
              <w:t>Washington, D.C. 20549</w:t>
            </w:r>
          </w:p>
        </w:tc>
      </w:tr>
      <w:tr>
        <w:trPr>
          <w:trHeight w:val="337"/>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w w:val="97"/>
              </w:rPr>
              <w:t>FORM T-1</w:t>
            </w:r>
          </w:p>
        </w:tc>
      </w:tr>
      <w:tr>
        <w:trPr>
          <w:trHeight w:val="322"/>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8"/>
              </w:rPr>
              <w:t>STATEMENT OF ELIGIBILITY</w:t>
            </w:r>
          </w:p>
        </w:tc>
      </w:tr>
      <w:tr>
        <w:trPr>
          <w:trHeight w:val="168"/>
        </w:trPr>
        <w:tc>
          <w:tcPr>
            <w:tcW w:w="3160" w:type="dxa"/>
            <w:vAlign w:val="bottom"/>
          </w:tcPr>
          <w:p>
            <w:pPr>
              <w:spacing w:after="0"/>
              <w:rPr>
                <w:sz w:val="14"/>
                <w:szCs w:val="14"/>
                <w:color w:val="auto"/>
              </w:rPr>
            </w:pPr>
          </w:p>
        </w:tc>
        <w:tc>
          <w:tcPr>
            <w:tcW w:w="8140" w:type="dxa"/>
            <w:vAlign w:val="bottom"/>
            <w:gridSpan w:val="4"/>
          </w:tcPr>
          <w:p>
            <w:pPr>
              <w:jc w:val="center"/>
              <w:ind w:right="3090"/>
              <w:spacing w:after="0"/>
              <w:rPr>
                <w:sz w:val="20"/>
                <w:szCs w:val="20"/>
                <w:color w:val="auto"/>
              </w:rPr>
            </w:pPr>
            <w:r>
              <w:rPr>
                <w:rFonts w:ascii="Times New Roman" w:cs="Times New Roman" w:eastAsia="Times New Roman" w:hAnsi="Times New Roman"/>
                <w:sz w:val="14"/>
                <w:szCs w:val="14"/>
                <w:color w:val="auto"/>
              </w:rPr>
              <w:t>UNDER THE TRUST INDENTURE ACT OF 1939 OF A</w:t>
            </w:r>
          </w:p>
        </w:tc>
      </w:tr>
      <w:tr>
        <w:trPr>
          <w:trHeight w:val="183"/>
        </w:trPr>
        <w:tc>
          <w:tcPr>
            <w:tcW w:w="3160" w:type="dxa"/>
            <w:vAlign w:val="bottom"/>
          </w:tcPr>
          <w:p>
            <w:pPr>
              <w:spacing w:after="0"/>
              <w:rPr>
                <w:sz w:val="15"/>
                <w:szCs w:val="15"/>
                <w:color w:val="auto"/>
              </w:rPr>
            </w:pPr>
          </w:p>
        </w:tc>
        <w:tc>
          <w:tcPr>
            <w:tcW w:w="8140" w:type="dxa"/>
            <w:vAlign w:val="bottom"/>
            <w:gridSpan w:val="4"/>
          </w:tcPr>
          <w:p>
            <w:pPr>
              <w:jc w:val="center"/>
              <w:ind w:right="3110"/>
              <w:spacing w:after="0"/>
              <w:rPr>
                <w:sz w:val="20"/>
                <w:szCs w:val="20"/>
                <w:color w:val="auto"/>
              </w:rPr>
            </w:pPr>
            <w:r>
              <w:rPr>
                <w:rFonts w:ascii="Times New Roman" w:cs="Times New Roman" w:eastAsia="Times New Roman" w:hAnsi="Times New Roman"/>
                <w:sz w:val="14"/>
                <w:szCs w:val="14"/>
                <w:color w:val="auto"/>
                <w:w w:val="98"/>
              </w:rPr>
              <w:t>CORPORATION DESIGNATED TO ACT AS TRUSTEE</w:t>
            </w:r>
          </w:p>
        </w:tc>
      </w:tr>
      <w:tr>
        <w:trPr>
          <w:trHeight w:val="322"/>
        </w:trPr>
        <w:tc>
          <w:tcPr>
            <w:tcW w:w="3160" w:type="dxa"/>
            <w:vAlign w:val="bottom"/>
          </w:tcPr>
          <w:p>
            <w:pPr>
              <w:spacing w:after="0"/>
              <w:rPr>
                <w:sz w:val="24"/>
                <w:szCs w:val="24"/>
                <w:color w:val="auto"/>
              </w:rPr>
            </w:pPr>
          </w:p>
        </w:tc>
        <w:tc>
          <w:tcPr>
            <w:tcW w:w="8140" w:type="dxa"/>
            <w:vAlign w:val="bottom"/>
            <w:gridSpan w:val="4"/>
          </w:tcPr>
          <w:p>
            <w:pPr>
              <w:jc w:val="center"/>
              <w:ind w:right="3110"/>
              <w:spacing w:after="0"/>
              <w:rPr>
                <w:sz w:val="20"/>
                <w:szCs w:val="20"/>
                <w:color w:val="auto"/>
              </w:rPr>
            </w:pPr>
            <w:r>
              <w:rPr>
                <w:rFonts w:ascii="Times New Roman" w:cs="Times New Roman" w:eastAsia="Times New Roman" w:hAnsi="Times New Roman"/>
                <w:sz w:val="14"/>
                <w:szCs w:val="14"/>
                <w:color w:val="auto"/>
                <w:w w:val="99"/>
              </w:rPr>
              <w:t>CHECK IF AN APPLICATION TO DETERMINE</w:t>
            </w:r>
          </w:p>
        </w:tc>
      </w:tr>
      <w:tr>
        <w:trPr>
          <w:trHeight w:val="141"/>
        </w:trPr>
        <w:tc>
          <w:tcPr>
            <w:tcW w:w="3160" w:type="dxa"/>
            <w:vAlign w:val="bottom"/>
          </w:tcPr>
          <w:p>
            <w:pPr>
              <w:spacing w:after="0"/>
              <w:rPr>
                <w:sz w:val="12"/>
                <w:szCs w:val="12"/>
                <w:color w:val="auto"/>
              </w:rPr>
            </w:pPr>
          </w:p>
        </w:tc>
        <w:tc>
          <w:tcPr>
            <w:tcW w:w="8140" w:type="dxa"/>
            <w:vAlign w:val="bottom"/>
            <w:gridSpan w:val="4"/>
          </w:tcPr>
          <w:p>
            <w:pPr>
              <w:jc w:val="center"/>
              <w:ind w:right="3090"/>
              <w:spacing w:after="0" w:line="141" w:lineRule="exact"/>
              <w:rPr>
                <w:sz w:val="20"/>
                <w:szCs w:val="20"/>
                <w:color w:val="auto"/>
              </w:rPr>
            </w:pPr>
            <w:r>
              <w:rPr>
                <w:rFonts w:ascii="Times New Roman" w:cs="Times New Roman" w:eastAsia="Times New Roman" w:hAnsi="Times New Roman"/>
                <w:sz w:val="14"/>
                <w:szCs w:val="14"/>
                <w:color w:val="auto"/>
              </w:rPr>
              <w:t>ELIGIBILITY OF A TRUSTEE PURSUANT TO</w:t>
            </w:r>
          </w:p>
        </w:tc>
      </w:tr>
      <w:tr>
        <w:trPr>
          <w:trHeight w:val="236"/>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60" w:type="dxa"/>
            <w:vAlign w:val="bottom"/>
            <w:gridSpan w:val="3"/>
          </w:tcPr>
          <w:p>
            <w:pPr>
              <w:jc w:val="center"/>
              <w:ind w:right="4170"/>
              <w:spacing w:after="0" w:line="161" w:lineRule="exact"/>
              <w:rPr>
                <w:sz w:val="20"/>
                <w:szCs w:val="20"/>
                <w:color w:val="auto"/>
              </w:rPr>
            </w:pPr>
            <w:r>
              <w:rPr>
                <w:rFonts w:ascii="Times New Roman" w:cs="Times New Roman" w:eastAsia="Times New Roman" w:hAnsi="Times New Roman"/>
                <w:sz w:val="14"/>
                <w:szCs w:val="14"/>
                <w:color w:val="auto"/>
                <w:w w:val="92"/>
              </w:rPr>
              <w:t xml:space="preserve">SECTION 305(b)(2)           </w:t>
            </w:r>
            <w:r>
              <w:rPr>
                <w:rFonts w:ascii="MS PGothic" w:cs="MS PGothic" w:eastAsia="MS PGothic" w:hAnsi="MS PGothic"/>
                <w:sz w:val="14"/>
                <w:szCs w:val="14"/>
                <w:color w:val="auto"/>
                <w:w w:val="92"/>
              </w:rPr>
              <w:t>☐</w:t>
            </w:r>
          </w:p>
        </w:tc>
      </w:tr>
      <w:tr>
        <w:trPr>
          <w:trHeight w:val="143"/>
        </w:trPr>
        <w:tc>
          <w:tcPr>
            <w:tcW w:w="3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323"/>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9"/>
              </w:rPr>
              <w:t>THE BANK OF NEW YORK MELLON</w:t>
            </w:r>
          </w:p>
        </w:tc>
      </w:tr>
      <w:tr>
        <w:trPr>
          <w:trHeight w:val="168"/>
        </w:trPr>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w w:val="98"/>
              </w:rPr>
              <w:t>TRUST COMPANY, N.A.</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gridSpan w:val="3"/>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spacing w:after="0"/>
              <w:rPr>
                <w:sz w:val="12"/>
                <w:szCs w:val="12"/>
                <w:color w:val="auto"/>
              </w:rPr>
            </w:pPr>
          </w:p>
        </w:tc>
        <w:tc>
          <w:tcPr>
            <w:tcW w:w="4540" w:type="dxa"/>
            <w:vAlign w:val="bottom"/>
            <w:tcBorders>
              <w:right w:val="single" w:sz="8" w:color="auto"/>
            </w:tcBorders>
            <w:gridSpan w:val="3"/>
          </w:tcPr>
          <w:p>
            <w:pPr>
              <w:spacing w:after="0"/>
              <w:rPr>
                <w:sz w:val="12"/>
                <w:szCs w:val="12"/>
                <w:color w:val="auto"/>
              </w:rPr>
            </w:pPr>
          </w:p>
        </w:tc>
        <w:tc>
          <w:tcPr>
            <w:tcW w:w="360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95-3571558</w:t>
            </w: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333 South Hope Street</w:t>
            </w:r>
          </w:p>
        </w:tc>
        <w:tc>
          <w:tcPr>
            <w:tcW w:w="1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4540" w:type="dxa"/>
            <w:vAlign w:val="bottom"/>
            <w:tcBorders>
              <w:right w:val="single" w:sz="8" w:color="auto"/>
            </w:tcBorders>
            <w:gridSpan w:val="3"/>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90071</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gridSpan w:val="2"/>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313"/>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w w:val="99"/>
              </w:rPr>
              <w:t>ConocoPhillips</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17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gridSpan w:val="4"/>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Delaware</w:t>
            </w:r>
          </w:p>
        </w:tc>
        <w:tc>
          <w:tcPr>
            <w:tcW w:w="4540" w:type="dxa"/>
            <w:vAlign w:val="bottom"/>
            <w:tcBorders>
              <w:right w:val="single" w:sz="8" w:color="auto"/>
            </w:tcBorders>
            <w:gridSpan w:val="3"/>
          </w:tcPr>
          <w:p>
            <w:pPr>
              <w:spacing w:after="0"/>
              <w:rPr>
                <w:sz w:val="12"/>
                <w:szCs w:val="12"/>
                <w:color w:val="auto"/>
              </w:rPr>
            </w:pPr>
          </w:p>
        </w:tc>
        <w:tc>
          <w:tcPr>
            <w:tcW w:w="360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01-0562944</w:t>
            </w: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925 N. Eldridge Parkway</w:t>
            </w:r>
          </w:p>
        </w:tc>
        <w:tc>
          <w:tcPr>
            <w:tcW w:w="1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4540" w:type="dxa"/>
            <w:vAlign w:val="bottom"/>
            <w:tcBorders>
              <w:right w:val="single" w:sz="8" w:color="auto"/>
            </w:tcBorders>
            <w:gridSpan w:val="3"/>
          </w:tcPr>
          <w:p>
            <w:pPr>
              <w:spacing w:after="0"/>
              <w:rPr>
                <w:sz w:val="14"/>
                <w:szCs w:val="1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77079</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gridSpan w:val="2"/>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313"/>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9"/>
              </w:rPr>
              <w:t>Subordinated Debt Securities</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190"/>
              <w:spacing w:after="0"/>
              <w:rPr>
                <w:sz w:val="20"/>
                <w:szCs w:val="20"/>
                <w:color w:val="auto"/>
              </w:rPr>
            </w:pPr>
            <w:r>
              <w:rPr>
                <w:rFonts w:ascii="Times New Roman" w:cs="Times New Roman" w:eastAsia="Times New Roman" w:hAnsi="Times New Roman"/>
                <w:sz w:val="14"/>
                <w:szCs w:val="14"/>
                <w:color w:val="auto"/>
                <w:w w:val="99"/>
              </w:rPr>
              <w:t>(Title of the indenture securities)</w:t>
            </w:r>
          </w:p>
        </w:tc>
      </w:tr>
      <w:tr>
        <w:trPr>
          <w:trHeight w:val="211"/>
        </w:trPr>
        <w:tc>
          <w:tcPr>
            <w:tcW w:w="3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71"/>
        </w:trPr>
        <w:tc>
          <w:tcPr>
            <w:tcW w:w="3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bl>
    <w:p>
      <w:pPr>
        <w:sectPr>
          <w:pgSz w:w="11900" w:h="16838" w:orient="portrait"/>
          <w:cols w:equalWidth="0" w:num="1">
            <w:col w:w="11280"/>
          </w:cols>
          <w:pgMar w:left="300" w:top="312" w:right="31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General information. Furnish the following information as to the trustee:</w:t>
            </w:r>
          </w:p>
        </w:tc>
        <w:tc>
          <w:tcPr>
            <w:tcW w:w="4900" w:type="dxa"/>
            <w:vAlign w:val="bottom"/>
          </w:tcPr>
          <w:p>
            <w:pPr>
              <w:spacing w:after="0"/>
              <w:rPr>
                <w:sz w:val="16"/>
                <w:szCs w:val="16"/>
                <w:color w:val="auto"/>
              </w:rPr>
            </w:pPr>
          </w:p>
        </w:tc>
      </w:tr>
      <w:tr>
        <w:trPr>
          <w:trHeight w:val="337"/>
        </w:trPr>
        <w:tc>
          <w:tcPr>
            <w:tcW w:w="8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(a)</w:t>
            </w:r>
          </w:p>
        </w:tc>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tc>
        <w:tc>
          <w:tcPr>
            <w:tcW w:w="4900" w:type="dxa"/>
            <w:vAlign w:val="bottom"/>
          </w:tcPr>
          <w:p>
            <w:pPr>
              <w:spacing w:after="0"/>
              <w:rPr>
                <w:sz w:val="24"/>
                <w:szCs w:val="24"/>
                <w:color w:val="auto"/>
              </w:rPr>
            </w:pPr>
          </w:p>
        </w:tc>
      </w:tr>
      <w:tr>
        <w:trPr>
          <w:trHeight w:val="168"/>
        </w:trPr>
        <w:tc>
          <w:tcPr>
            <w:tcW w:w="84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r>
      <w:tr>
        <w:trPr>
          <w:trHeight w:val="243"/>
        </w:trPr>
        <w:tc>
          <w:tcPr>
            <w:tcW w:w="840" w:type="dxa"/>
            <w:vAlign w:val="bottom"/>
          </w:tcPr>
          <w:p>
            <w:pPr>
              <w:spacing w:after="0"/>
              <w:rPr>
                <w:sz w:val="21"/>
                <w:szCs w:val="21"/>
                <w:color w:val="auto"/>
              </w:rPr>
            </w:pPr>
          </w:p>
        </w:tc>
        <w:tc>
          <w:tcPr>
            <w:tcW w:w="55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Name</w:t>
            </w:r>
          </w:p>
        </w:tc>
        <w:tc>
          <w:tcPr>
            <w:tcW w:w="49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Address</w:t>
            </w:r>
          </w:p>
        </w:tc>
      </w:tr>
      <w:tr>
        <w:trPr>
          <w:trHeight w:val="84"/>
        </w:trPr>
        <w:tc>
          <w:tcPr>
            <w:tcW w:w="6380" w:type="dxa"/>
            <w:vAlign w:val="bottom"/>
            <w:tcBorders>
              <w:bottom w:val="single" w:sz="8" w:color="auto"/>
            </w:tcBorders>
            <w:gridSpan w:val="2"/>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r>
      <w:tr>
        <w:trPr>
          <w:trHeight w:val="144"/>
        </w:trPr>
        <w:tc>
          <w:tcPr>
            <w:tcW w:w="6380" w:type="dxa"/>
            <w:vAlign w:val="bottom"/>
            <w:gridSpan w:val="2"/>
          </w:tcPr>
          <w:p>
            <w:pPr>
              <w:ind w:left="520"/>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490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4900" w:type="dxa"/>
            <w:vAlign w:val="bottom"/>
          </w:tcPr>
          <w:p>
            <w:pPr>
              <w:spacing w:after="0"/>
              <w:rPr>
                <w:sz w:val="15"/>
                <w:szCs w:val="15"/>
                <w:color w:val="auto"/>
              </w:rPr>
            </w:pPr>
          </w:p>
        </w:tc>
      </w:tr>
      <w:tr>
        <w:trPr>
          <w:trHeight w:val="337"/>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Federal Reserve Bank</w:t>
            </w:r>
          </w:p>
        </w:tc>
        <w:tc>
          <w:tcPr>
            <w:tcW w:w="4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7"/>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Federal Deposit Insurance Corporation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52" w:lineRule="exact"/>
        <w:rPr>
          <w:sz w:val="20"/>
          <w:szCs w:val="20"/>
          <w:color w:val="auto"/>
        </w:rPr>
      </w:pPr>
    </w:p>
    <w:p>
      <w:pPr>
        <w:ind w:left="1020" w:hanging="511"/>
        <w:spacing w:after="0"/>
        <w:tabs>
          <w:tab w:leader="none" w:pos="102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Yes.</w:t>
      </w:r>
    </w:p>
    <w:p>
      <w:pPr>
        <w:spacing w:after="0" w:line="174" w:lineRule="exact"/>
        <w:rPr>
          <w:sz w:val="20"/>
          <w:szCs w:val="20"/>
          <w:color w:val="auto"/>
        </w:rPr>
      </w:pPr>
    </w:p>
    <w:p>
      <w:pPr>
        <w:ind w:left="500" w:hanging="496"/>
        <w:spacing w:after="0"/>
        <w:tabs>
          <w:tab w:leader="none" w:pos="50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75"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500" w:hanging="496"/>
        <w:spacing w:after="0"/>
        <w:tabs>
          <w:tab w:leader="none" w:pos="50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rFonts w:ascii="Times New Roman" w:cs="Times New Roman" w:eastAsia="Times New Roman" w:hAnsi="Times New Roman"/>
          <w:sz w:val="14"/>
          <w:szCs w:val="14"/>
          <w:b w:val="1"/>
          <w:bCs w:val="1"/>
          <w:color w:val="auto"/>
        </w:rPr>
      </w:pPr>
    </w:p>
    <w:p>
      <w:pPr>
        <w:ind w:left="5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3" w:lineRule="exact"/>
        <w:rPr>
          <w:rFonts w:ascii="Times New Roman" w:cs="Times New Roman" w:eastAsia="Times New Roman" w:hAnsi="Times New Roman"/>
          <w:sz w:val="14"/>
          <w:szCs w:val="14"/>
          <w:b w:val="1"/>
          <w:bCs w:val="1"/>
          <w:color w:val="auto"/>
        </w:rPr>
      </w:pPr>
    </w:p>
    <w:p>
      <w:pPr>
        <w:ind w:left="1020" w:hanging="511"/>
        <w:spacing w:after="0" w:line="283" w:lineRule="auto"/>
        <w:tabs>
          <w:tab w:leader="none" w:pos="10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7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44" w:lineRule="exact"/>
        <w:rPr>
          <w:rFonts w:ascii="Times New Roman" w:cs="Times New Roman" w:eastAsia="Times New Roman" w:hAnsi="Times New Roman"/>
          <w:sz w:val="14"/>
          <w:szCs w:val="14"/>
          <w:color w:val="auto"/>
        </w:rPr>
      </w:pPr>
    </w:p>
    <w:p>
      <w:pPr>
        <w:ind w:left="5600" w:hanging="73"/>
        <w:spacing w:after="0"/>
        <w:tabs>
          <w:tab w:leader="none" w:pos="5600" w:val="left"/>
        </w:tabs>
        <w:numPr>
          <w:ilvl w:val="2"/>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9" w:name="page60"/>
    <w:bookmarkEnd w:id="59"/>
    <w:p>
      <w:pPr>
        <w:ind w:left="511" w:hanging="511"/>
        <w:spacing w:after="0"/>
        <w:tabs>
          <w:tab w:leader="none" w:pos="511"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76" w:lineRule="exact"/>
        <w:rPr>
          <w:sz w:val="20"/>
          <w:szCs w:val="20"/>
          <w:color w:val="auto"/>
        </w:rPr>
      </w:pPr>
    </w:p>
    <w:p>
      <w:pPr>
        <w:ind w:left="511" w:hanging="511"/>
        <w:spacing w:after="0"/>
        <w:tabs>
          <w:tab w:leader="none" w:pos="51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511" w:hanging="511"/>
        <w:spacing w:after="0"/>
        <w:tabs>
          <w:tab w:leader="none" w:pos="51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3"/>
          <w:szCs w:val="13"/>
          <w:color w:val="auto"/>
        </w:rPr>
      </w:pPr>
    </w:p>
    <w:p>
      <w:pPr>
        <w:ind w:left="5091" w:hanging="73"/>
        <w:spacing w:after="0"/>
        <w:tabs>
          <w:tab w:leader="none" w:pos="5091"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716280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650"/>
          </w:cols>
          <w:pgMar w:left="809" w:top="735"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7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25th day of June, 2026.</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7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Peggy Guel</w:t>
      </w:r>
    </w:p>
    <w:p>
      <w:pPr>
        <w:spacing w:after="0" w:line="22"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Name:</w:t>
        <w:tab/>
        <w:t>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7</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 the close of business March 31, 2026, published in accordance with Federal regulatory authority instructions.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Dollar amounts</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in thousands</w:t>
            </w:r>
          </w:p>
        </w:tc>
        <w:tc>
          <w:tcPr>
            <w:tcW w:w="0" w:type="dxa"/>
            <w:vAlign w:val="bottom"/>
          </w:tcPr>
          <w:p>
            <w:pPr>
              <w:spacing w:after="0"/>
              <w:rPr>
                <w:sz w:val="1"/>
                <w:szCs w:val="1"/>
                <w:color w:val="auto"/>
              </w:rPr>
            </w:pPr>
          </w:p>
        </w:tc>
      </w:tr>
      <w:tr>
        <w:trPr>
          <w:trHeight w:val="139"/>
        </w:trPr>
        <w:tc>
          <w:tcPr>
            <w:tcW w:w="494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ASSETS</w:t>
            </w:r>
          </w:p>
        </w:tc>
        <w:tc>
          <w:tcPr>
            <w:tcW w:w="49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20" w:type="dxa"/>
            <w:vAlign w:val="bottom"/>
            <w:tcBorders>
              <w:top w:val="single" w:sz="8" w:color="auto"/>
            </w:tcBorders>
          </w:tcPr>
          <w:p>
            <w:pPr>
              <w:spacing w:after="0"/>
              <w:rPr>
                <w:sz w:val="15"/>
                <w:szCs w:val="15"/>
                <w:color w:val="auto"/>
              </w:rPr>
            </w:pPr>
          </w:p>
        </w:tc>
        <w:tc>
          <w:tcPr>
            <w:tcW w:w="4420" w:type="dxa"/>
            <w:vAlign w:val="bottom"/>
            <w:tcBorders>
              <w:top w:val="single" w:sz="8" w:color="CCEEFF"/>
            </w:tcBorders>
          </w:tcPr>
          <w:p>
            <w:pPr>
              <w:spacing w:after="0"/>
              <w:rPr>
                <w:sz w:val="15"/>
                <w:szCs w:val="15"/>
                <w:color w:val="auto"/>
              </w:rPr>
            </w:pPr>
          </w:p>
        </w:tc>
        <w:tc>
          <w:tcPr>
            <w:tcW w:w="49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42,494</w:t>
            </w: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balances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99,817</w:t>
            </w: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12,469</w:t>
            </w: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117,808</w:t>
            </w:r>
          </w:p>
        </w:tc>
        <w:tc>
          <w:tcPr>
            <w:tcW w:w="0" w:type="dxa"/>
            <w:vAlign w:val="bottom"/>
          </w:tcPr>
          <w:p>
            <w:pPr>
              <w:spacing w:after="0"/>
              <w:rPr>
                <w:sz w:val="1"/>
                <w:szCs w:val="1"/>
                <w:color w:val="auto"/>
              </w:rPr>
            </w:pPr>
          </w:p>
        </w:tc>
      </w:tr>
      <w:tr>
        <w:trPr>
          <w:trHeight w:val="159"/>
        </w:trPr>
        <w:tc>
          <w:tcPr>
            <w:tcW w:w="5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900" w:type="dxa"/>
            <w:vAlign w:val="bottom"/>
            <w:vMerge w:val="restart"/>
          </w:tcPr>
          <w:p>
            <w:pPr>
              <w:jc w:val="right"/>
              <w:ind w:right="409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33" w:right="31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7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 domestic offices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Noninterest-bearing</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Interest-bearing    </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277,214</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278,285</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984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7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108,610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1,003,856</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1,113,451</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1,113,451</w:t>
            </w:r>
          </w:p>
        </w:tc>
        <w:tc>
          <w:tcPr>
            <w:tcW w:w="100" w:type="dxa"/>
            <w:vAlign w:val="bottom"/>
            <w:shd w:val="clear" w:color="auto" w:fill="CCEEFF"/>
          </w:tcPr>
          <w:p>
            <w:pPr>
              <w:spacing w:after="0"/>
              <w:rPr>
                <w:sz w:val="15"/>
                <w:szCs w:val="15"/>
                <w:color w:val="auto"/>
              </w:rPr>
            </w:pPr>
          </w:p>
        </w:tc>
      </w:tr>
      <w:tr>
        <w:trPr>
          <w:trHeight w:val="16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1,391,736</w:t>
            </w:r>
          </w:p>
        </w:tc>
        <w:tc>
          <w:tcPr>
            <w:tcW w:w="1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5" w:lineRule="exact"/>
        <w:rPr>
          <w:sz w:val="20"/>
          <w:szCs w:val="20"/>
          <w:color w:val="auto"/>
        </w:rPr>
      </w:pPr>
    </w:p>
    <w:p>
      <w:pPr>
        <w:ind w:left="500"/>
        <w:spacing w:after="0"/>
        <w:tabs>
          <w:tab w:leader="none" w:pos="1500" w:val="left"/>
          <w:tab w:leader="none" w:pos="2000" w:val="left"/>
        </w:tabs>
        <w:rPr>
          <w:sz w:val="20"/>
          <w:szCs w:val="20"/>
          <w:color w:val="auto"/>
        </w:rPr>
      </w:pPr>
      <w:r>
        <w:rPr>
          <w:rFonts w:ascii="Times New Roman" w:cs="Times New Roman" w:eastAsia="Times New Roman" w:hAnsi="Times New Roman"/>
          <w:sz w:val="14"/>
          <w:szCs w:val="14"/>
          <w:color w:val="auto"/>
        </w:rPr>
        <w:t>Natalie Bobnar</w:t>
        <w:tab/>
        <w:t>)</w:t>
      </w:r>
      <w:r>
        <w:rPr>
          <w:sz w:val="20"/>
          <w:szCs w:val="20"/>
          <w:color w:val="auto"/>
        </w:rPr>
        <w:tab/>
      </w:r>
      <w:r>
        <w:rPr>
          <w:rFonts w:ascii="Times New Roman" w:cs="Times New Roman" w:eastAsia="Times New Roman" w:hAnsi="Times New Roman"/>
          <w:sz w:val="14"/>
          <w:szCs w:val="14"/>
          <w:color w:val="auto"/>
        </w:rPr>
        <w:t>CFO</w:t>
      </w:r>
    </w:p>
    <w:p>
      <w:pPr>
        <w:spacing w:after="0" w:line="176" w:lineRule="exact"/>
        <w:rPr>
          <w:sz w:val="20"/>
          <w:szCs w:val="20"/>
          <w:color w:val="auto"/>
        </w:rPr>
      </w:pPr>
    </w:p>
    <w:p>
      <w:pPr>
        <w:ind w:right="20" w:firstLine="505"/>
        <w:spacing w:after="0" w:line="283"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280"/>
          </w:cols>
          <w:pgMar w:left="300" w:top="757" w:right="319" w:bottom="1440" w:gutter="0" w:footer="0" w:header="0"/>
        </w:sectPr>
      </w:pP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Elizabeth Lyndon, Managing Director</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Kevin C. Weeks, President</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Directors (Trustees)</w:t>
      </w:r>
    </w:p>
    <w:p>
      <w:pPr>
        <w:spacing w:after="0" w:line="394" w:lineRule="exact"/>
        <w:rPr>
          <w:sz w:val="20"/>
          <w:szCs w:val="20"/>
          <w:color w:val="auto"/>
        </w:rPr>
      </w:pPr>
    </w:p>
    <w:p>
      <w:pPr>
        <w:sectPr>
          <w:pgSz w:w="11900" w:h="16838" w:orient="portrait"/>
          <w:cols w:equalWidth="0" w:num="3">
            <w:col w:w="2700" w:space="340"/>
            <w:col w:w="40" w:space="460"/>
            <w:col w:w="7740"/>
          </w:cols>
          <w:pgMar w:left="300" w:top="757" w:right="319" w:bottom="1440" w:gutter="0" w:footer="0" w:header="0"/>
          <w:type w:val="continuous"/>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type w:val="continuous"/>
        </w:sectPr>
      </w:pPr>
    </w:p>
    <w:bookmarkStart w:id="63" w:name="page64"/>
    <w:bookmarkEnd w:id="63"/>
    <w:p>
      <w:pPr>
        <w:ind w:left="10560"/>
        <w:spacing w:after="0"/>
        <w:rPr>
          <w:sz w:val="20"/>
          <w:szCs w:val="20"/>
          <w:color w:val="auto"/>
        </w:rPr>
      </w:pPr>
      <w:r>
        <w:rPr>
          <w:rFonts w:ascii="Times New Roman" w:cs="Times New Roman" w:eastAsia="Times New Roman" w:hAnsi="Times New Roman"/>
          <w:sz w:val="13"/>
          <w:szCs w:val="13"/>
          <w:b w:val="1"/>
          <w:bCs w:val="1"/>
          <w:color w:val="auto"/>
        </w:rPr>
        <w:t>Exhibit 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wp:posOffset>
            </wp:positionV>
            <wp:extent cx="716280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156210</wp:posOffset>
            </wp:positionV>
            <wp:extent cx="716280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60" w:type="dxa"/>
            <w:vAlign w:val="bottom"/>
            <w:gridSpan w:val="4"/>
          </w:tcPr>
          <w:p>
            <w:pPr>
              <w:jc w:val="center"/>
              <w:ind w:right="4190"/>
              <w:spacing w:after="0"/>
              <w:rPr>
                <w:sz w:val="20"/>
                <w:szCs w:val="20"/>
                <w:color w:val="auto"/>
              </w:rPr>
            </w:pPr>
            <w:r>
              <w:rPr>
                <w:rFonts w:ascii="Times New Roman" w:cs="Times New Roman" w:eastAsia="Times New Roman" w:hAnsi="Times New Roman"/>
                <w:sz w:val="14"/>
                <w:szCs w:val="14"/>
                <w:color w:val="auto"/>
                <w:w w:val="97"/>
              </w:rPr>
              <w:t>UNITED STATES</w:t>
            </w:r>
          </w:p>
        </w:tc>
      </w:tr>
      <w:tr>
        <w:trPr>
          <w:trHeight w:val="168"/>
        </w:trPr>
        <w:tc>
          <w:tcPr>
            <w:tcW w:w="3160" w:type="dxa"/>
            <w:vAlign w:val="bottom"/>
          </w:tcPr>
          <w:p>
            <w:pPr>
              <w:spacing w:after="0"/>
              <w:rPr>
                <w:sz w:val="14"/>
                <w:szCs w:val="14"/>
                <w:color w:val="auto"/>
              </w:rPr>
            </w:pPr>
          </w:p>
        </w:tc>
        <w:tc>
          <w:tcPr>
            <w:tcW w:w="8140" w:type="dxa"/>
            <w:vAlign w:val="bottom"/>
            <w:gridSpan w:val="5"/>
          </w:tcPr>
          <w:p>
            <w:pPr>
              <w:jc w:val="center"/>
              <w:ind w:right="311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4"/>
          </w:tcPr>
          <w:p>
            <w:pPr>
              <w:jc w:val="center"/>
              <w:ind w:right="4170"/>
              <w:spacing w:after="0"/>
              <w:rPr>
                <w:sz w:val="20"/>
                <w:szCs w:val="20"/>
                <w:color w:val="auto"/>
              </w:rPr>
            </w:pPr>
            <w:r>
              <w:rPr>
                <w:rFonts w:ascii="Times New Roman" w:cs="Times New Roman" w:eastAsia="Times New Roman" w:hAnsi="Times New Roman"/>
                <w:sz w:val="14"/>
                <w:szCs w:val="14"/>
                <w:color w:val="auto"/>
                <w:w w:val="98"/>
              </w:rPr>
              <w:t>Washington, D.C. 20549</w:t>
            </w:r>
          </w:p>
        </w:tc>
      </w:tr>
      <w:tr>
        <w:trPr>
          <w:trHeight w:val="337"/>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4"/>
          </w:tcPr>
          <w:p>
            <w:pPr>
              <w:jc w:val="center"/>
              <w:ind w:right="4170"/>
              <w:spacing w:after="0"/>
              <w:rPr>
                <w:sz w:val="20"/>
                <w:szCs w:val="20"/>
                <w:color w:val="auto"/>
              </w:rPr>
            </w:pPr>
            <w:r>
              <w:rPr>
                <w:rFonts w:ascii="Times New Roman" w:cs="Times New Roman" w:eastAsia="Times New Roman" w:hAnsi="Times New Roman"/>
                <w:sz w:val="14"/>
                <w:szCs w:val="14"/>
                <w:color w:val="auto"/>
                <w:w w:val="97"/>
              </w:rPr>
              <w:t>FORM T-1</w:t>
            </w:r>
          </w:p>
        </w:tc>
      </w:tr>
      <w:tr>
        <w:trPr>
          <w:trHeight w:val="322"/>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4"/>
          </w:tcPr>
          <w:p>
            <w:pPr>
              <w:jc w:val="center"/>
              <w:ind w:right="4190"/>
              <w:spacing w:after="0"/>
              <w:rPr>
                <w:sz w:val="20"/>
                <w:szCs w:val="20"/>
                <w:color w:val="auto"/>
              </w:rPr>
            </w:pPr>
            <w:r>
              <w:rPr>
                <w:rFonts w:ascii="Times New Roman" w:cs="Times New Roman" w:eastAsia="Times New Roman" w:hAnsi="Times New Roman"/>
                <w:sz w:val="14"/>
                <w:szCs w:val="14"/>
                <w:color w:val="auto"/>
                <w:w w:val="98"/>
              </w:rPr>
              <w:t>STATEMENT OF ELIGIBILITY</w:t>
            </w:r>
          </w:p>
        </w:tc>
      </w:tr>
      <w:tr>
        <w:trPr>
          <w:trHeight w:val="168"/>
        </w:trPr>
        <w:tc>
          <w:tcPr>
            <w:tcW w:w="3160" w:type="dxa"/>
            <w:vAlign w:val="bottom"/>
          </w:tcPr>
          <w:p>
            <w:pPr>
              <w:spacing w:after="0"/>
              <w:rPr>
                <w:sz w:val="14"/>
                <w:szCs w:val="14"/>
                <w:color w:val="auto"/>
              </w:rPr>
            </w:pPr>
          </w:p>
        </w:tc>
        <w:tc>
          <w:tcPr>
            <w:tcW w:w="814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color w:val="auto"/>
              </w:rPr>
              <w:t>UNDER THE TRUST INDENTURE ACT OF 1939 OF A</w:t>
            </w:r>
          </w:p>
        </w:tc>
      </w:tr>
      <w:tr>
        <w:trPr>
          <w:trHeight w:val="183"/>
        </w:trPr>
        <w:tc>
          <w:tcPr>
            <w:tcW w:w="3160" w:type="dxa"/>
            <w:vAlign w:val="bottom"/>
          </w:tcPr>
          <w:p>
            <w:pPr>
              <w:spacing w:after="0"/>
              <w:rPr>
                <w:sz w:val="15"/>
                <w:szCs w:val="15"/>
                <w:color w:val="auto"/>
              </w:rPr>
            </w:pPr>
          </w:p>
        </w:tc>
        <w:tc>
          <w:tcPr>
            <w:tcW w:w="8140" w:type="dxa"/>
            <w:vAlign w:val="bottom"/>
            <w:gridSpan w:val="5"/>
          </w:tcPr>
          <w:p>
            <w:pPr>
              <w:jc w:val="center"/>
              <w:ind w:right="3110"/>
              <w:spacing w:after="0"/>
              <w:rPr>
                <w:sz w:val="20"/>
                <w:szCs w:val="20"/>
                <w:color w:val="auto"/>
              </w:rPr>
            </w:pPr>
            <w:r>
              <w:rPr>
                <w:rFonts w:ascii="Times New Roman" w:cs="Times New Roman" w:eastAsia="Times New Roman" w:hAnsi="Times New Roman"/>
                <w:sz w:val="14"/>
                <w:szCs w:val="14"/>
                <w:color w:val="auto"/>
                <w:w w:val="98"/>
              </w:rPr>
              <w:t>CORPORATION DESIGNATED TO ACT AS TRUSTEE</w:t>
            </w:r>
          </w:p>
        </w:tc>
      </w:tr>
      <w:tr>
        <w:trPr>
          <w:trHeight w:val="322"/>
        </w:trPr>
        <w:tc>
          <w:tcPr>
            <w:tcW w:w="3160" w:type="dxa"/>
            <w:vAlign w:val="bottom"/>
          </w:tcPr>
          <w:p>
            <w:pPr>
              <w:spacing w:after="0"/>
              <w:rPr>
                <w:sz w:val="24"/>
                <w:szCs w:val="24"/>
                <w:color w:val="auto"/>
              </w:rPr>
            </w:pPr>
          </w:p>
        </w:tc>
        <w:tc>
          <w:tcPr>
            <w:tcW w:w="8140" w:type="dxa"/>
            <w:vAlign w:val="bottom"/>
            <w:gridSpan w:val="5"/>
          </w:tcPr>
          <w:p>
            <w:pPr>
              <w:jc w:val="center"/>
              <w:ind w:right="3110"/>
              <w:spacing w:after="0"/>
              <w:rPr>
                <w:sz w:val="20"/>
                <w:szCs w:val="20"/>
                <w:color w:val="auto"/>
              </w:rPr>
            </w:pPr>
            <w:r>
              <w:rPr>
                <w:rFonts w:ascii="Times New Roman" w:cs="Times New Roman" w:eastAsia="Times New Roman" w:hAnsi="Times New Roman"/>
                <w:sz w:val="14"/>
                <w:szCs w:val="14"/>
                <w:color w:val="auto"/>
                <w:w w:val="99"/>
              </w:rPr>
              <w:t>CHECK IF AN APPLICATION TO DETERMINE</w:t>
            </w:r>
          </w:p>
        </w:tc>
      </w:tr>
      <w:tr>
        <w:trPr>
          <w:trHeight w:val="141"/>
        </w:trPr>
        <w:tc>
          <w:tcPr>
            <w:tcW w:w="3160" w:type="dxa"/>
            <w:vAlign w:val="bottom"/>
          </w:tcPr>
          <w:p>
            <w:pPr>
              <w:spacing w:after="0"/>
              <w:rPr>
                <w:sz w:val="12"/>
                <w:szCs w:val="12"/>
                <w:color w:val="auto"/>
              </w:rPr>
            </w:pPr>
          </w:p>
        </w:tc>
        <w:tc>
          <w:tcPr>
            <w:tcW w:w="8140" w:type="dxa"/>
            <w:vAlign w:val="bottom"/>
            <w:gridSpan w:val="5"/>
          </w:tcPr>
          <w:p>
            <w:pPr>
              <w:jc w:val="center"/>
              <w:ind w:right="3090"/>
              <w:spacing w:after="0" w:line="141" w:lineRule="exact"/>
              <w:rPr>
                <w:sz w:val="20"/>
                <w:szCs w:val="20"/>
                <w:color w:val="auto"/>
              </w:rPr>
            </w:pPr>
            <w:r>
              <w:rPr>
                <w:rFonts w:ascii="Times New Roman" w:cs="Times New Roman" w:eastAsia="Times New Roman" w:hAnsi="Times New Roman"/>
                <w:sz w:val="14"/>
                <w:szCs w:val="14"/>
                <w:color w:val="auto"/>
              </w:rPr>
              <w:t>ELIGIBILITY OF A TRUSTEE PURSUANT TO</w:t>
            </w:r>
          </w:p>
        </w:tc>
      </w:tr>
      <w:tr>
        <w:trPr>
          <w:trHeight w:val="236"/>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60" w:type="dxa"/>
            <w:vAlign w:val="bottom"/>
            <w:gridSpan w:val="4"/>
          </w:tcPr>
          <w:p>
            <w:pPr>
              <w:jc w:val="center"/>
              <w:ind w:right="4170"/>
              <w:spacing w:after="0" w:line="161" w:lineRule="exact"/>
              <w:rPr>
                <w:sz w:val="20"/>
                <w:szCs w:val="20"/>
                <w:color w:val="auto"/>
              </w:rPr>
            </w:pPr>
            <w:r>
              <w:rPr>
                <w:rFonts w:ascii="Times New Roman" w:cs="Times New Roman" w:eastAsia="Times New Roman" w:hAnsi="Times New Roman"/>
                <w:sz w:val="14"/>
                <w:szCs w:val="14"/>
                <w:color w:val="auto"/>
                <w:w w:val="92"/>
              </w:rPr>
              <w:t xml:space="preserve">SECTION 305(b)(2)           </w:t>
            </w:r>
            <w:r>
              <w:rPr>
                <w:rFonts w:ascii="MS PGothic" w:cs="MS PGothic" w:eastAsia="MS PGothic" w:hAnsi="MS PGothic"/>
                <w:sz w:val="14"/>
                <w:szCs w:val="14"/>
                <w:color w:val="auto"/>
                <w:w w:val="92"/>
              </w:rPr>
              <w:t>☐</w:t>
            </w:r>
          </w:p>
        </w:tc>
      </w:tr>
      <w:tr>
        <w:trPr>
          <w:trHeight w:val="143"/>
        </w:trPr>
        <w:tc>
          <w:tcPr>
            <w:tcW w:w="3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323"/>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4"/>
          </w:tcPr>
          <w:p>
            <w:pPr>
              <w:jc w:val="center"/>
              <w:ind w:right="4190"/>
              <w:spacing w:after="0"/>
              <w:rPr>
                <w:sz w:val="20"/>
                <w:szCs w:val="20"/>
                <w:color w:val="auto"/>
              </w:rPr>
            </w:pPr>
            <w:r>
              <w:rPr>
                <w:rFonts w:ascii="Times New Roman" w:cs="Times New Roman" w:eastAsia="Times New Roman" w:hAnsi="Times New Roman"/>
                <w:sz w:val="14"/>
                <w:szCs w:val="14"/>
                <w:color w:val="auto"/>
                <w:w w:val="99"/>
              </w:rPr>
              <w:t>THE BANK OF NEW YORK MELLON</w:t>
            </w:r>
          </w:p>
        </w:tc>
      </w:tr>
      <w:tr>
        <w:trPr>
          <w:trHeight w:val="168"/>
        </w:trPr>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60" w:type="dxa"/>
            <w:vAlign w:val="bottom"/>
            <w:gridSpan w:val="4"/>
          </w:tcPr>
          <w:p>
            <w:pPr>
              <w:jc w:val="center"/>
              <w:ind w:right="4170"/>
              <w:spacing w:after="0"/>
              <w:rPr>
                <w:sz w:val="20"/>
                <w:szCs w:val="20"/>
                <w:color w:val="auto"/>
              </w:rPr>
            </w:pPr>
            <w:r>
              <w:rPr>
                <w:rFonts w:ascii="Times New Roman" w:cs="Times New Roman" w:eastAsia="Times New Roman" w:hAnsi="Times New Roman"/>
                <w:sz w:val="14"/>
                <w:szCs w:val="14"/>
                <w:color w:val="auto"/>
                <w:w w:val="98"/>
              </w:rPr>
              <w:t>TRUST COMPANY, N.A.</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4"/>
          </w:tcPr>
          <w:p>
            <w:pPr>
              <w:jc w:val="center"/>
              <w:ind w:right="417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gridSpan w:val="3"/>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spacing w:after="0"/>
              <w:rPr>
                <w:sz w:val="12"/>
                <w:szCs w:val="12"/>
                <w:color w:val="auto"/>
              </w:rPr>
            </w:pPr>
          </w:p>
        </w:tc>
        <w:tc>
          <w:tcPr>
            <w:tcW w:w="4540" w:type="dxa"/>
            <w:vAlign w:val="bottom"/>
            <w:tcBorders>
              <w:right w:val="single" w:sz="8" w:color="auto"/>
            </w:tcBorders>
            <w:gridSpan w:val="3"/>
          </w:tcPr>
          <w:p>
            <w:pPr>
              <w:spacing w:after="0"/>
              <w:rPr>
                <w:sz w:val="12"/>
                <w:szCs w:val="12"/>
                <w:color w:val="auto"/>
              </w:rPr>
            </w:pPr>
          </w:p>
        </w:tc>
        <w:tc>
          <w:tcPr>
            <w:tcW w:w="3600" w:type="dxa"/>
            <w:vAlign w:val="bottom"/>
            <w:tcBorders>
              <w:right w:val="single" w:sz="8" w:color="auto"/>
            </w:tcBorders>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95-3571558</w:t>
            </w: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333 South Hope Street</w:t>
            </w:r>
          </w:p>
        </w:tc>
        <w:tc>
          <w:tcPr>
            <w:tcW w:w="1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540" w:type="dxa"/>
            <w:vAlign w:val="bottom"/>
            <w:tcBorders>
              <w:right w:val="single" w:sz="8" w:color="auto"/>
            </w:tcBorders>
            <w:gridSpan w:val="3"/>
          </w:tcPr>
          <w:p>
            <w:pPr>
              <w:spacing w:after="0"/>
              <w:rPr>
                <w:sz w:val="14"/>
                <w:szCs w:val="14"/>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90071</w:t>
            </w:r>
          </w:p>
        </w:tc>
      </w:tr>
      <w:tr>
        <w:trPr>
          <w:trHeight w:val="183"/>
        </w:trPr>
        <w:tc>
          <w:tcPr>
            <w:tcW w:w="3160" w:type="dxa"/>
            <w:vAlign w:val="bottom"/>
            <w:tcBorders>
              <w:lef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r>
      <w:tr>
        <w:trPr>
          <w:trHeight w:val="313"/>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4"/>
          </w:tcPr>
          <w:p>
            <w:pPr>
              <w:jc w:val="center"/>
              <w:ind w:right="4190"/>
              <w:spacing w:after="0"/>
              <w:rPr>
                <w:sz w:val="20"/>
                <w:szCs w:val="20"/>
                <w:color w:val="auto"/>
              </w:rPr>
            </w:pPr>
            <w:r>
              <w:rPr>
                <w:rFonts w:ascii="Times New Roman" w:cs="Times New Roman" w:eastAsia="Times New Roman" w:hAnsi="Times New Roman"/>
                <w:sz w:val="14"/>
                <w:szCs w:val="14"/>
                <w:color w:val="auto"/>
                <w:w w:val="99"/>
              </w:rPr>
              <w:t>ConocoPhillips Company</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4"/>
          </w:tcPr>
          <w:p>
            <w:pPr>
              <w:jc w:val="center"/>
              <w:ind w:right="417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4"/>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Delaware</w:t>
            </w:r>
          </w:p>
        </w:tc>
        <w:tc>
          <w:tcPr>
            <w:tcW w:w="4540" w:type="dxa"/>
            <w:vAlign w:val="bottom"/>
            <w:tcBorders>
              <w:right w:val="single" w:sz="8" w:color="auto"/>
            </w:tcBorders>
            <w:gridSpan w:val="3"/>
          </w:tcPr>
          <w:p>
            <w:pPr>
              <w:spacing w:after="0"/>
              <w:rPr>
                <w:sz w:val="12"/>
                <w:szCs w:val="12"/>
                <w:color w:val="auto"/>
              </w:rPr>
            </w:pPr>
          </w:p>
        </w:tc>
        <w:tc>
          <w:tcPr>
            <w:tcW w:w="3600" w:type="dxa"/>
            <w:vAlign w:val="bottom"/>
            <w:tcBorders>
              <w:right w:val="single" w:sz="8" w:color="auto"/>
            </w:tcBorders>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73-0400345</w:t>
            </w: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925 N. Eldridge Parkway</w:t>
            </w:r>
          </w:p>
        </w:tc>
        <w:tc>
          <w:tcPr>
            <w:tcW w:w="1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4540" w:type="dxa"/>
            <w:vAlign w:val="bottom"/>
            <w:tcBorders>
              <w:right w:val="single" w:sz="8" w:color="auto"/>
            </w:tcBorders>
            <w:gridSpan w:val="3"/>
          </w:tcPr>
          <w:p>
            <w:pPr>
              <w:spacing w:after="0"/>
              <w:rPr>
                <w:sz w:val="14"/>
                <w:szCs w:val="14"/>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77079</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r>
      <w:tr>
        <w:trPr>
          <w:trHeight w:val="313"/>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4"/>
          </w:tcPr>
          <w:p>
            <w:pPr>
              <w:jc w:val="center"/>
              <w:ind w:right="4170"/>
              <w:spacing w:after="0"/>
              <w:rPr>
                <w:sz w:val="20"/>
                <w:szCs w:val="20"/>
                <w:color w:val="auto"/>
              </w:rPr>
            </w:pPr>
            <w:r>
              <w:rPr>
                <w:rFonts w:ascii="Times New Roman" w:cs="Times New Roman" w:eastAsia="Times New Roman" w:hAnsi="Times New Roman"/>
                <w:sz w:val="14"/>
                <w:szCs w:val="14"/>
                <w:color w:val="auto"/>
                <w:w w:val="99"/>
              </w:rPr>
              <w:t>ConocoPhillips</w:t>
            </w:r>
          </w:p>
        </w:tc>
      </w:tr>
      <w:tr>
        <w:trPr>
          <w:trHeight w:val="183"/>
        </w:trPr>
        <w:tc>
          <w:tcPr>
            <w:tcW w:w="3160" w:type="dxa"/>
            <w:vAlign w:val="bottom"/>
          </w:tcPr>
          <w:p>
            <w:pPr>
              <w:spacing w:after="0"/>
              <w:rPr>
                <w:sz w:val="15"/>
                <w:szCs w:val="15"/>
                <w:color w:val="auto"/>
              </w:rPr>
            </w:pPr>
          </w:p>
        </w:tc>
        <w:tc>
          <w:tcPr>
            <w:tcW w:w="814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color w:val="auto"/>
                <w:w w:val="99"/>
              </w:rPr>
              <w:t>(Exact name of guarantor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4"/>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Delaware</w:t>
            </w:r>
          </w:p>
        </w:tc>
        <w:tc>
          <w:tcPr>
            <w:tcW w:w="4760" w:type="dxa"/>
            <w:vAlign w:val="bottom"/>
            <w:tcBorders>
              <w:right w:val="single" w:sz="8" w:color="auto"/>
            </w:tcBorders>
            <w:gridSpan w:val="4"/>
          </w:tcPr>
          <w:p>
            <w:pPr>
              <w:spacing w:after="0"/>
              <w:rPr>
                <w:sz w:val="12"/>
                <w:szCs w:val="12"/>
                <w:color w:val="auto"/>
              </w:rPr>
            </w:pPr>
          </w:p>
        </w:tc>
        <w:tc>
          <w:tcPr>
            <w:tcW w:w="3380" w:type="dxa"/>
            <w:vAlign w:val="bottom"/>
            <w:tcBorders>
              <w:right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01-0562944</w:t>
            </w: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925 N. Eldridge Parkway</w:t>
            </w:r>
          </w:p>
        </w:tc>
        <w:tc>
          <w:tcPr>
            <w:tcW w:w="1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760" w:type="dxa"/>
            <w:vAlign w:val="bottom"/>
            <w:tcBorders>
              <w:right w:val="single" w:sz="8" w:color="auto"/>
            </w:tcBorders>
            <w:gridSpan w:val="4"/>
          </w:tcPr>
          <w:p>
            <w:pPr>
              <w:spacing w:after="0"/>
              <w:rPr>
                <w:sz w:val="14"/>
                <w:szCs w:val="14"/>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77079</w:t>
            </w:r>
          </w:p>
        </w:tc>
      </w:tr>
      <w:tr>
        <w:trPr>
          <w:trHeight w:val="183"/>
        </w:trPr>
        <w:tc>
          <w:tcPr>
            <w:tcW w:w="3160" w:type="dxa"/>
            <w:vAlign w:val="bottom"/>
            <w:tcBorders>
              <w:lef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80" w:type="dxa"/>
            <w:vAlign w:val="bottom"/>
            <w:tcBorders>
              <w:bottom w:val="single" w:sz="8" w:color="auto"/>
              <w:right w:val="single" w:sz="8" w:color="auto"/>
            </w:tcBorders>
            <w:gridSpan w:val="3"/>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r>
      <w:tr>
        <w:trPr>
          <w:trHeight w:val="313"/>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4"/>
          </w:tcPr>
          <w:p>
            <w:pPr>
              <w:jc w:val="center"/>
              <w:ind w:right="4170"/>
              <w:spacing w:after="0"/>
              <w:rPr>
                <w:sz w:val="20"/>
                <w:szCs w:val="20"/>
                <w:color w:val="auto"/>
              </w:rPr>
            </w:pPr>
            <w:r>
              <w:rPr>
                <w:rFonts w:ascii="Times New Roman" w:cs="Times New Roman" w:eastAsia="Times New Roman" w:hAnsi="Times New Roman"/>
                <w:sz w:val="14"/>
                <w:szCs w:val="14"/>
                <w:color w:val="auto"/>
                <w:w w:val="99"/>
              </w:rPr>
              <w:t>Senior Debt Securities</w:t>
            </w:r>
          </w:p>
        </w:tc>
      </w:tr>
      <w:tr>
        <w:trPr>
          <w:trHeight w:val="168"/>
        </w:trPr>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60" w:type="dxa"/>
            <w:vAlign w:val="bottom"/>
            <w:gridSpan w:val="4"/>
          </w:tcPr>
          <w:p>
            <w:pPr>
              <w:jc w:val="center"/>
              <w:ind w:right="4190"/>
              <w:spacing w:after="0"/>
              <w:rPr>
                <w:sz w:val="20"/>
                <w:szCs w:val="20"/>
                <w:color w:val="auto"/>
              </w:rPr>
            </w:pPr>
            <w:r>
              <w:rPr>
                <w:rFonts w:ascii="Times New Roman" w:cs="Times New Roman" w:eastAsia="Times New Roman" w:hAnsi="Times New Roman"/>
                <w:sz w:val="14"/>
                <w:szCs w:val="14"/>
                <w:color w:val="auto"/>
              </w:rPr>
              <w:t>and Guarantees of Senior Debt Securities</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4"/>
          </w:tcPr>
          <w:p>
            <w:pPr>
              <w:jc w:val="center"/>
              <w:ind w:right="4190"/>
              <w:spacing w:after="0"/>
              <w:rPr>
                <w:sz w:val="20"/>
                <w:szCs w:val="20"/>
                <w:color w:val="auto"/>
              </w:rPr>
            </w:pPr>
            <w:r>
              <w:rPr>
                <w:rFonts w:ascii="Times New Roman" w:cs="Times New Roman" w:eastAsia="Times New Roman" w:hAnsi="Times New Roman"/>
                <w:sz w:val="14"/>
                <w:szCs w:val="14"/>
                <w:color w:val="auto"/>
                <w:w w:val="99"/>
              </w:rPr>
              <w:t>(Title of the indenture securities)</w:t>
            </w:r>
          </w:p>
        </w:tc>
      </w:tr>
      <w:tr>
        <w:trPr>
          <w:trHeight w:val="168"/>
        </w:trPr>
        <w:tc>
          <w:tcPr>
            <w:tcW w:w="3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r>
        <w:trPr>
          <w:trHeight w:val="340"/>
        </w:trPr>
        <w:tc>
          <w:tcPr>
            <w:tcW w:w="3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2" w:right="31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General information. Furnish the following information as to the trustee:</w:t>
            </w:r>
          </w:p>
        </w:tc>
        <w:tc>
          <w:tcPr>
            <w:tcW w:w="4900" w:type="dxa"/>
            <w:vAlign w:val="bottom"/>
          </w:tcPr>
          <w:p>
            <w:pPr>
              <w:spacing w:after="0"/>
              <w:rPr>
                <w:sz w:val="16"/>
                <w:szCs w:val="16"/>
                <w:color w:val="auto"/>
              </w:rPr>
            </w:pPr>
          </w:p>
        </w:tc>
      </w:tr>
      <w:tr>
        <w:trPr>
          <w:trHeight w:val="337"/>
        </w:trPr>
        <w:tc>
          <w:tcPr>
            <w:tcW w:w="8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(a)</w:t>
            </w:r>
          </w:p>
        </w:tc>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tc>
        <w:tc>
          <w:tcPr>
            <w:tcW w:w="4900" w:type="dxa"/>
            <w:vAlign w:val="bottom"/>
          </w:tcPr>
          <w:p>
            <w:pPr>
              <w:spacing w:after="0"/>
              <w:rPr>
                <w:sz w:val="24"/>
                <w:szCs w:val="24"/>
                <w:color w:val="auto"/>
              </w:rPr>
            </w:pPr>
          </w:p>
        </w:tc>
      </w:tr>
      <w:tr>
        <w:trPr>
          <w:trHeight w:val="168"/>
        </w:trPr>
        <w:tc>
          <w:tcPr>
            <w:tcW w:w="84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r>
      <w:tr>
        <w:trPr>
          <w:trHeight w:val="243"/>
        </w:trPr>
        <w:tc>
          <w:tcPr>
            <w:tcW w:w="840" w:type="dxa"/>
            <w:vAlign w:val="bottom"/>
          </w:tcPr>
          <w:p>
            <w:pPr>
              <w:spacing w:after="0"/>
              <w:rPr>
                <w:sz w:val="21"/>
                <w:szCs w:val="21"/>
                <w:color w:val="auto"/>
              </w:rPr>
            </w:pPr>
          </w:p>
        </w:tc>
        <w:tc>
          <w:tcPr>
            <w:tcW w:w="55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Name</w:t>
            </w:r>
          </w:p>
        </w:tc>
        <w:tc>
          <w:tcPr>
            <w:tcW w:w="49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Address</w:t>
            </w:r>
          </w:p>
        </w:tc>
      </w:tr>
      <w:tr>
        <w:trPr>
          <w:trHeight w:val="84"/>
        </w:trPr>
        <w:tc>
          <w:tcPr>
            <w:tcW w:w="6380" w:type="dxa"/>
            <w:vAlign w:val="bottom"/>
            <w:tcBorders>
              <w:bottom w:val="single" w:sz="8" w:color="auto"/>
            </w:tcBorders>
            <w:gridSpan w:val="2"/>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r>
      <w:tr>
        <w:trPr>
          <w:trHeight w:val="144"/>
        </w:trPr>
        <w:tc>
          <w:tcPr>
            <w:tcW w:w="6380" w:type="dxa"/>
            <w:vAlign w:val="bottom"/>
            <w:gridSpan w:val="2"/>
          </w:tcPr>
          <w:p>
            <w:pPr>
              <w:ind w:left="520"/>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490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4900" w:type="dxa"/>
            <w:vAlign w:val="bottom"/>
          </w:tcPr>
          <w:p>
            <w:pPr>
              <w:spacing w:after="0"/>
              <w:rPr>
                <w:sz w:val="15"/>
                <w:szCs w:val="15"/>
                <w:color w:val="auto"/>
              </w:rPr>
            </w:pPr>
          </w:p>
        </w:tc>
      </w:tr>
      <w:tr>
        <w:trPr>
          <w:trHeight w:val="337"/>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Federal Reserve Bank</w:t>
            </w:r>
          </w:p>
        </w:tc>
        <w:tc>
          <w:tcPr>
            <w:tcW w:w="4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7"/>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Federal Deposit Insurance Corporation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52" w:lineRule="exact"/>
        <w:rPr>
          <w:sz w:val="20"/>
          <w:szCs w:val="20"/>
          <w:color w:val="auto"/>
        </w:rPr>
      </w:pPr>
    </w:p>
    <w:p>
      <w:pPr>
        <w:ind w:left="1020" w:hanging="511"/>
        <w:spacing w:after="0"/>
        <w:tabs>
          <w:tab w:leader="none" w:pos="102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Yes.</w:t>
      </w:r>
    </w:p>
    <w:p>
      <w:pPr>
        <w:spacing w:after="0" w:line="174" w:lineRule="exact"/>
        <w:rPr>
          <w:sz w:val="20"/>
          <w:szCs w:val="20"/>
          <w:color w:val="auto"/>
        </w:rPr>
      </w:pPr>
    </w:p>
    <w:p>
      <w:pPr>
        <w:ind w:left="500" w:hanging="496"/>
        <w:spacing w:after="0"/>
        <w:tabs>
          <w:tab w:leader="none" w:pos="500"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500" w:hanging="496"/>
        <w:spacing w:after="0"/>
        <w:tabs>
          <w:tab w:leader="none" w:pos="50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rFonts w:ascii="Times New Roman" w:cs="Times New Roman" w:eastAsia="Times New Roman" w:hAnsi="Times New Roman"/>
          <w:sz w:val="14"/>
          <w:szCs w:val="14"/>
          <w:b w:val="1"/>
          <w:bCs w:val="1"/>
          <w:color w:val="auto"/>
        </w:rPr>
      </w:pPr>
    </w:p>
    <w:p>
      <w:pPr>
        <w:ind w:left="5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3" w:lineRule="exact"/>
        <w:rPr>
          <w:rFonts w:ascii="Times New Roman" w:cs="Times New Roman" w:eastAsia="Times New Roman" w:hAnsi="Times New Roman"/>
          <w:sz w:val="14"/>
          <w:szCs w:val="14"/>
          <w:b w:val="1"/>
          <w:bCs w:val="1"/>
          <w:color w:val="auto"/>
        </w:rPr>
      </w:pPr>
    </w:p>
    <w:p>
      <w:pPr>
        <w:ind w:left="1020" w:hanging="511"/>
        <w:spacing w:after="0" w:line="283" w:lineRule="auto"/>
        <w:tabs>
          <w:tab w:leader="none" w:pos="102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7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44" w:lineRule="exact"/>
        <w:rPr>
          <w:rFonts w:ascii="Times New Roman" w:cs="Times New Roman" w:eastAsia="Times New Roman" w:hAnsi="Times New Roman"/>
          <w:sz w:val="14"/>
          <w:szCs w:val="14"/>
          <w:color w:val="auto"/>
        </w:rPr>
      </w:pPr>
    </w:p>
    <w:p>
      <w:pPr>
        <w:ind w:left="5600" w:hanging="73"/>
        <w:spacing w:after="0"/>
        <w:tabs>
          <w:tab w:leader="none" w:pos="5600"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5" w:name="page66"/>
    <w:bookmarkEnd w:id="65"/>
    <w:p>
      <w:pPr>
        <w:ind w:left="511" w:hanging="511"/>
        <w:spacing w:after="0"/>
        <w:tabs>
          <w:tab w:leader="none" w:pos="51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76" w:lineRule="exact"/>
        <w:rPr>
          <w:sz w:val="20"/>
          <w:szCs w:val="20"/>
          <w:color w:val="auto"/>
        </w:rPr>
      </w:pPr>
    </w:p>
    <w:p>
      <w:pPr>
        <w:ind w:left="511" w:hanging="511"/>
        <w:spacing w:after="0"/>
        <w:tabs>
          <w:tab w:leader="none" w:pos="511"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511" w:hanging="511"/>
        <w:spacing w:after="0"/>
        <w:tabs>
          <w:tab w:leader="none" w:pos="511"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3"/>
          <w:szCs w:val="13"/>
          <w:color w:val="auto"/>
        </w:rPr>
      </w:pPr>
    </w:p>
    <w:p>
      <w:pPr>
        <w:ind w:left="5091" w:hanging="73"/>
        <w:spacing w:after="0"/>
        <w:tabs>
          <w:tab w:leader="none" w:pos="5091"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716280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650"/>
          </w:cols>
          <w:pgMar w:left="809" w:top="735"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7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25th day of June, 2026.</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7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Peggy Guel</w:t>
      </w:r>
    </w:p>
    <w:p>
      <w:pPr>
        <w:spacing w:after="0" w:line="22"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Name:</w:t>
        <w:tab/>
        <w:t>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tabs>
          <w:tab w:leader="none" w:pos="65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b w:val="1"/>
          <w:bCs w:val="1"/>
          <w:color w:val="auto"/>
        </w:rPr>
        <w:t>EXHIBIT 7</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 the close of business March 31, 2026, published in accordance with Federal regulatory authority instructions.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Dollar amounts</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in thousands</w:t>
            </w:r>
          </w:p>
        </w:tc>
        <w:tc>
          <w:tcPr>
            <w:tcW w:w="0" w:type="dxa"/>
            <w:vAlign w:val="bottom"/>
          </w:tcPr>
          <w:p>
            <w:pPr>
              <w:spacing w:after="0"/>
              <w:rPr>
                <w:sz w:val="1"/>
                <w:szCs w:val="1"/>
                <w:color w:val="auto"/>
              </w:rPr>
            </w:pPr>
          </w:p>
        </w:tc>
      </w:tr>
      <w:tr>
        <w:trPr>
          <w:trHeight w:val="139"/>
        </w:trPr>
        <w:tc>
          <w:tcPr>
            <w:tcW w:w="494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ASSETS</w:t>
            </w:r>
          </w:p>
        </w:tc>
        <w:tc>
          <w:tcPr>
            <w:tcW w:w="49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20" w:type="dxa"/>
            <w:vAlign w:val="bottom"/>
            <w:tcBorders>
              <w:top w:val="single" w:sz="8" w:color="auto"/>
            </w:tcBorders>
          </w:tcPr>
          <w:p>
            <w:pPr>
              <w:spacing w:after="0"/>
              <w:rPr>
                <w:sz w:val="15"/>
                <w:szCs w:val="15"/>
                <w:color w:val="auto"/>
              </w:rPr>
            </w:pPr>
          </w:p>
        </w:tc>
        <w:tc>
          <w:tcPr>
            <w:tcW w:w="4420" w:type="dxa"/>
            <w:vAlign w:val="bottom"/>
            <w:tcBorders>
              <w:top w:val="single" w:sz="8" w:color="CCEEFF"/>
            </w:tcBorders>
          </w:tcPr>
          <w:p>
            <w:pPr>
              <w:spacing w:after="0"/>
              <w:rPr>
                <w:sz w:val="15"/>
                <w:szCs w:val="15"/>
                <w:color w:val="auto"/>
              </w:rPr>
            </w:pPr>
          </w:p>
        </w:tc>
        <w:tc>
          <w:tcPr>
            <w:tcW w:w="49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42,494</w:t>
            </w: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balances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99,817</w:t>
            </w: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12,469</w:t>
            </w: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117,808</w:t>
            </w:r>
          </w:p>
        </w:tc>
        <w:tc>
          <w:tcPr>
            <w:tcW w:w="0" w:type="dxa"/>
            <w:vAlign w:val="bottom"/>
          </w:tcPr>
          <w:p>
            <w:pPr>
              <w:spacing w:after="0"/>
              <w:rPr>
                <w:sz w:val="1"/>
                <w:szCs w:val="1"/>
                <w:color w:val="auto"/>
              </w:rPr>
            </w:pPr>
          </w:p>
        </w:tc>
      </w:tr>
      <w:tr>
        <w:trPr>
          <w:trHeight w:val="159"/>
        </w:trPr>
        <w:tc>
          <w:tcPr>
            <w:tcW w:w="5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900" w:type="dxa"/>
            <w:vAlign w:val="bottom"/>
            <w:vMerge w:val="restart"/>
          </w:tcPr>
          <w:p>
            <w:pPr>
              <w:jc w:val="right"/>
              <w:ind w:right="409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4" w:right="31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7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 domestic offices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Noninterest-bearing</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Interest-bearing    </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277,214</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278,285</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984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7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108,610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1,003,856</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1,113,451</w:t>
            </w:r>
          </w:p>
        </w:tc>
        <w:tc>
          <w:tcPr>
            <w:tcW w:w="100" w:type="dxa"/>
            <w:vAlign w:val="bottom"/>
            <w:shd w:val="clear" w:color="auto" w:fill="CCEEFF"/>
          </w:tcPr>
          <w:p>
            <w:pPr>
              <w:spacing w:after="0"/>
              <w:rPr>
                <w:sz w:val="15"/>
                <w:szCs w:val="15"/>
                <w:color w:val="auto"/>
              </w:rPr>
            </w:pPr>
          </w:p>
        </w:tc>
      </w:tr>
      <w:tr>
        <w:trPr>
          <w:trHeight w:val="179"/>
        </w:trPr>
        <w:tc>
          <w:tcPr>
            <w:tcW w:w="9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r>
      <w:tr>
        <w:trPr>
          <w:trHeight w:val="179"/>
        </w:trPr>
        <w:tc>
          <w:tcPr>
            <w:tcW w:w="9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1,113,451</w:t>
            </w:r>
          </w:p>
        </w:tc>
        <w:tc>
          <w:tcPr>
            <w:tcW w:w="100" w:type="dxa"/>
            <w:vAlign w:val="bottom"/>
            <w:shd w:val="clear" w:color="auto" w:fill="CCEEFF"/>
          </w:tcPr>
          <w:p>
            <w:pPr>
              <w:spacing w:after="0"/>
              <w:rPr>
                <w:sz w:val="15"/>
                <w:szCs w:val="15"/>
                <w:color w:val="auto"/>
              </w:rPr>
            </w:pPr>
          </w:p>
        </w:tc>
      </w:tr>
      <w:tr>
        <w:trPr>
          <w:trHeight w:val="169"/>
        </w:trPr>
        <w:tc>
          <w:tcPr>
            <w:tcW w:w="9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1,391,736</w:t>
            </w:r>
          </w:p>
        </w:tc>
        <w:tc>
          <w:tcPr>
            <w:tcW w:w="1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5" w:lineRule="exact"/>
        <w:rPr>
          <w:sz w:val="20"/>
          <w:szCs w:val="20"/>
          <w:color w:val="auto"/>
        </w:rPr>
      </w:pPr>
    </w:p>
    <w:p>
      <w:pPr>
        <w:ind w:left="500"/>
        <w:spacing w:after="0"/>
        <w:tabs>
          <w:tab w:leader="none" w:pos="1500" w:val="left"/>
          <w:tab w:leader="none" w:pos="2000" w:val="left"/>
        </w:tabs>
        <w:rPr>
          <w:sz w:val="20"/>
          <w:szCs w:val="20"/>
          <w:color w:val="auto"/>
        </w:rPr>
      </w:pPr>
      <w:r>
        <w:rPr>
          <w:rFonts w:ascii="Times New Roman" w:cs="Times New Roman" w:eastAsia="Times New Roman" w:hAnsi="Times New Roman"/>
          <w:sz w:val="14"/>
          <w:szCs w:val="14"/>
          <w:color w:val="auto"/>
        </w:rPr>
        <w:t>Natalie Bobnar</w:t>
        <w:tab/>
        <w:t>)</w:t>
      </w:r>
      <w:r>
        <w:rPr>
          <w:sz w:val="20"/>
          <w:szCs w:val="20"/>
          <w:color w:val="auto"/>
        </w:rPr>
        <w:tab/>
      </w:r>
      <w:r>
        <w:rPr>
          <w:rFonts w:ascii="Times New Roman" w:cs="Times New Roman" w:eastAsia="Times New Roman" w:hAnsi="Times New Roman"/>
          <w:sz w:val="14"/>
          <w:szCs w:val="14"/>
          <w:color w:val="auto"/>
        </w:rPr>
        <w:t>CFO</w:t>
      </w:r>
    </w:p>
    <w:p>
      <w:pPr>
        <w:spacing w:after="0" w:line="176" w:lineRule="exact"/>
        <w:rPr>
          <w:sz w:val="20"/>
          <w:szCs w:val="20"/>
          <w:color w:val="auto"/>
        </w:rPr>
      </w:pPr>
    </w:p>
    <w:p>
      <w:pPr>
        <w:ind w:right="20" w:firstLine="505"/>
        <w:spacing w:after="0" w:line="283"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280"/>
          </w:cols>
          <w:pgMar w:left="300" w:top="757" w:right="319" w:bottom="1440" w:gutter="0" w:footer="0" w:header="0"/>
        </w:sectPr>
      </w:pP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Elizabeth Lyndon, Managing Director</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Kevin C. Weeks, President</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Directors (Trustees)</w:t>
      </w:r>
    </w:p>
    <w:p>
      <w:pPr>
        <w:spacing w:after="0" w:line="394" w:lineRule="exact"/>
        <w:rPr>
          <w:sz w:val="20"/>
          <w:szCs w:val="20"/>
          <w:color w:val="auto"/>
        </w:rPr>
      </w:pPr>
    </w:p>
    <w:p>
      <w:pPr>
        <w:sectPr>
          <w:pgSz w:w="11900" w:h="16838" w:orient="portrait"/>
          <w:cols w:equalWidth="0" w:num="3">
            <w:col w:w="2700" w:space="340"/>
            <w:col w:w="40" w:space="460"/>
            <w:col w:w="7740"/>
          </w:cols>
          <w:pgMar w:left="300" w:top="757" w:right="319" w:bottom="1440" w:gutter="0" w:footer="0" w:header="0"/>
          <w:type w:val="continuous"/>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type w:val="continuous"/>
        </w:sectPr>
      </w:pPr>
    </w:p>
    <w:bookmarkStart w:id="69" w:name="page70"/>
    <w:bookmarkEnd w:id="69"/>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CONOCOPHILLIPS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104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040" w:type="dxa"/>
            <w:vAlign w:val="bottom"/>
            <w:shd w:val="clear" w:color="auto" w:fill="9ADAF6"/>
          </w:tcPr>
          <w:p>
            <w:pPr>
              <w:ind w:left="100"/>
              <w:spacing w:after="0" w:line="189"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gridSpan w:val="9"/>
          </w:tcPr>
          <w:p>
            <w:pPr>
              <w:ind w:left="84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104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Senior Debt</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w w:val="98"/>
              </w:rPr>
              <w:t>Subordinated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104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Depositary</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104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Contracts or</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auto"/>
              </w:rPr>
              <w:t>Prepaid</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8 Other</w:t>
            </w:r>
          </w:p>
        </w:tc>
        <w:tc>
          <w:tcPr>
            <w:tcW w:w="20" w:type="dxa"/>
            <w:vAlign w:val="bottom"/>
          </w:tcPr>
          <w:p>
            <w:pPr>
              <w:spacing w:after="0"/>
              <w:rPr>
                <w:sz w:val="16"/>
                <w:szCs w:val="16"/>
                <w:color w:val="auto"/>
              </w:rPr>
            </w:pPr>
          </w:p>
        </w:tc>
        <w:tc>
          <w:tcPr>
            <w:tcW w:w="1040" w:type="dxa"/>
            <w:vAlign w:val="bottom"/>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-3994785</wp:posOffset>
            </wp:positionV>
            <wp:extent cx="7214235" cy="5658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214235" cy="565848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Contracts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20" w:lineRule="exact"/>
        <w:rPr>
          <w:sz w:val="20"/>
          <w:szCs w:val="20"/>
          <w:color w:val="auto"/>
        </w:rPr>
      </w:pPr>
    </w:p>
    <w:tbl>
      <w:tblPr>
        <w:tblLayout w:type="fixed"/>
        <w:tblInd w:w="2580" w:type="dxa"/>
        <w:tblCellMar>
          <w:top w:w="0" w:type="dxa"/>
          <w:left w:w="0" w:type="dxa"/>
          <w:bottom w:w="0" w:type="dxa"/>
          <w:right w:w="0" w:type="dxa"/>
        </w:tblCellMar>
      </w:tblPr>
      <w:tr>
        <w:trPr>
          <w:trHeight w:val="222"/>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Total Offering Amounts:</w:t>
            </w:r>
          </w:p>
        </w:tc>
        <w:tc>
          <w:tcPr>
            <w:tcW w:w="1780" w:type="dxa"/>
            <w:vAlign w:val="bottom"/>
          </w:tcPr>
          <w:p>
            <w:pPr>
              <w:jc w:val="right"/>
              <w:ind w:right="616"/>
              <w:spacing w:after="0"/>
              <w:rPr>
                <w:sz w:val="20"/>
                <w:szCs w:val="20"/>
                <w:color w:val="auto"/>
              </w:rPr>
            </w:pPr>
            <w:r>
              <w:rPr>
                <w:rFonts w:ascii="Arial" w:cs="Arial" w:eastAsia="Arial" w:hAnsi="Arial"/>
                <w:sz w:val="17"/>
                <w:szCs w:val="17"/>
                <w:color w:val="auto"/>
              </w:rPr>
              <w:t>$ 0.00</w:t>
            </w: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w w:val="96"/>
              </w:rPr>
              <w:t>Total Fees Previously Paid:</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Total Fee Offsets:</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2640" w:type="dxa"/>
            <w:vAlign w:val="bottom"/>
          </w:tcPr>
          <w:p>
            <w:pPr>
              <w:jc w:val="right"/>
              <w:ind w:right="536"/>
              <w:spacing w:after="0"/>
              <w:rPr>
                <w:sz w:val="20"/>
                <w:szCs w:val="20"/>
                <w:color w:val="auto"/>
              </w:rPr>
            </w:pPr>
            <w:r>
              <w:rPr>
                <w:rFonts w:ascii="Arial" w:cs="Arial" w:eastAsia="Arial" w:hAnsi="Arial"/>
                <w:sz w:val="17"/>
                <w:szCs w:val="17"/>
                <w:color w:val="auto"/>
              </w:rPr>
              <w:t>Net Fee Due:</w:t>
            </w:r>
          </w:p>
        </w:tc>
        <w:tc>
          <w:tcPr>
            <w:tcW w:w="1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260" w:hanging="5"/>
        <w:spacing w:after="0" w:line="242" w:lineRule="auto"/>
        <w:tabs>
          <w:tab w:leader="none" w:pos="47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issued at indeterminate prices.</w:t>
      </w:r>
    </w:p>
    <w:p>
      <w:pPr>
        <w:ind w:left="220" w:right="600" w:hanging="5"/>
        <w:spacing w:after="0" w:line="239" w:lineRule="auto"/>
        <w:tabs>
          <w:tab w:leader="none" w:pos="473"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reliance on Rule 456(b) and Rule 457(r) under the Securities Act, the registrant hereby defers payment of the registration fee required in connection with this registration statement. Separate consideration may or may not be received for securities that are issuable on exercise, conversion or exchange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14819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6</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7</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9"/>
          <w:szCs w:val="9"/>
          <w:color w:val="auto"/>
        </w:rPr>
        <w:t>8</w:t>
      </w:r>
    </w:p>
    <w:p>
      <w:pPr>
        <w:sectPr>
          <w:pgSz w:w="11900" w:h="16838" w:orient="portrait"/>
          <w:cols w:equalWidth="0" w:num="1">
            <w:col w:w="11360"/>
          </w:cols>
          <w:pgMar w:left="300" w:top="142" w:right="239" w:bottom="0" w:gutter="0" w:footer="0" w:header="0"/>
          <w:type w:val="continuous"/>
        </w:sectPr>
      </w:pPr>
    </w:p>
    <w:bookmarkStart w:id="70" w:name="page71"/>
    <w:bookmarkEnd w:id="70"/>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2"/>
          </w:tcPr>
          <w:p>
            <w:pPr>
              <w:ind w:left="58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9"/>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3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lowerLetter"/>
      <w:start w:val="1"/>
    </w:lvl>
    <w:lvl w:ilvl="1">
      <w:lvlJc w:val="left"/>
      <w:lvlText w:val="•"/>
      <w:numFmt w:val="bullet"/>
      <w:start w:val="1"/>
    </w:lvl>
  </w:abstractNum>
  <w:abstractNum w:abstractNumId="12">
    <w:nsid w:val="51EAD36B"/>
    <w:multiLevelType w:val="hybridMultilevel"/>
    <w:lvl w:ilvl="0">
      <w:lvlJc w:val="left"/>
      <w:lvlText w:val="(%1)"/>
      <w:numFmt w:val="lowerLetter"/>
      <w:start w:val="1"/>
    </w:lvl>
    <w:lvl w:ilvl="1">
      <w:lvlJc w:val="left"/>
      <w:lvlText w:val="•"/>
      <w:numFmt w:val="bullet"/>
      <w:start w:val="1"/>
    </w:lvl>
  </w:abstractNum>
  <w:abstractNum w:abstractNumId="13">
    <w:nsid w:val="2D517796"/>
    <w:multiLevelType w:val="hybridMultilevel"/>
    <w:lvl w:ilvl="0">
      <w:lvlJc w:val="left"/>
      <w:lvlText w:val="(%1)"/>
      <w:numFmt w:val="lowerLetter"/>
      <w:start w:val="1"/>
    </w:lvl>
    <w:lvl w:ilvl="1">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3"/>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4"/>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decimal"/>
      <w:start w:val="1"/>
    </w:lvl>
    <w:lvl w:ilvl="1">
      <w:lvlJc w:val="left"/>
      <w:lvlText w:val="(%2)"/>
      <w:numFmt w:val="lowerRoman"/>
      <w:start w:val="1"/>
    </w:lvl>
  </w:abstractNum>
  <w:abstractNum w:abstractNumId="47">
    <w:nsid w:val="1CF10FD8"/>
    <w:multiLevelType w:val="hybridMultilevel"/>
    <w:lvl w:ilvl="0">
      <w:lvlJc w:val="left"/>
      <w:lvlText w:val="(%1)"/>
      <w:numFmt w:val="decimal"/>
      <w:start w:val="2"/>
    </w:lvl>
    <w:lvl w:ilvl="1">
      <w:lvlJc w:val="left"/>
      <w:lvlText w:val="(%2)"/>
      <w:numFmt w:val="lowerRoman"/>
      <w:start w:val="1"/>
    </w:lvl>
  </w:abstractNum>
  <w:abstractNum w:abstractNumId="48">
    <w:nsid w:val="180115BE"/>
    <w:multiLevelType w:val="hybridMultilevel"/>
    <w:lvl w:ilvl="0">
      <w:lvlJc w:val="left"/>
      <w:lvlText w:val="(%1)"/>
      <w:numFmt w:val="decimal"/>
      <w:start w:val="5"/>
    </w:lvl>
    <w:lvl w:ilvl="1">
      <w:lvlJc w:val="left"/>
      <w:lvlText w:val="(%2)"/>
      <w:numFmt w:val="lowerRoman"/>
      <w:start w:val="1"/>
    </w:lvl>
  </w:abstractNum>
  <w:abstractNum w:abstractNumId="49">
    <w:nsid w:val="235BA861"/>
    <w:multiLevelType w:val="hybridMultilevel"/>
    <w:lvl w:ilvl="0">
      <w:lvlJc w:val="left"/>
      <w:lvlText w:val="(%1)"/>
      <w:numFmt w:val="lowerRoman"/>
      <w:start w:val="2"/>
    </w:lvl>
  </w:abstractNum>
  <w:abstractNum w:abstractNumId="50">
    <w:nsid w:val="47398C89"/>
    <w:multiLevelType w:val="hybridMultilevel"/>
    <w:lvl w:ilvl="0">
      <w:lvlJc w:val="left"/>
      <w:lvlText w:val="(%1)"/>
      <w:numFmt w:val="lowerLetter"/>
      <w:start w:val="2"/>
    </w:lvl>
  </w:abstractNum>
  <w:abstractNum w:abstractNumId="51">
    <w:nsid w:val="354FE9F9"/>
    <w:multiLevelType w:val="hybridMultilevel"/>
    <w:lvl w:ilvl="0">
      <w:lvlJc w:val="left"/>
      <w:lvlText w:val="%1."/>
      <w:numFmt w:val="decimal"/>
      <w:start w:val="2"/>
    </w:lvl>
  </w:abstractNum>
  <w:abstractNum w:abstractNumId="52">
    <w:nsid w:val="15B5AF5C"/>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53">
    <w:nsid w:val="741226BB"/>
    <w:multiLevelType w:val="hybridMultilevel"/>
    <w:lvl w:ilvl="0">
      <w:lvlJc w:val="left"/>
      <w:lvlText w:val="%1."/>
      <w:numFmt w:val="decimal"/>
      <w:start w:val="4"/>
    </w:lvl>
  </w:abstractNum>
  <w:abstractNum w:abstractNumId="54">
    <w:nsid w:val="D34B6A8"/>
    <w:multiLevelType w:val="hybridMultilevel"/>
    <w:lvl w:ilvl="0">
      <w:lvlJc w:val="left"/>
      <w:lvlText w:val="%1."/>
      <w:numFmt w:val="decimal"/>
      <w:start w:val="6"/>
    </w:lvl>
    <w:lvl w:ilvl="1">
      <w:lvlJc w:val="left"/>
      <w:lvlText w:val="-"/>
      <w:numFmt w:val="bullet"/>
      <w:start w:val="1"/>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decimal"/>
      <w:start w:val="2"/>
    </w:lvl>
  </w:abstractNum>
  <w:abstractNum w:abstractNumId="57">
    <w:nsid w:val="61574095"/>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58">
    <w:nsid w:val="7E0C57B1"/>
    <w:multiLevelType w:val="hybridMultilevel"/>
    <w:lvl w:ilvl="0">
      <w:lvlJc w:val="left"/>
      <w:lvlText w:val="%1."/>
      <w:numFmt w:val="decimal"/>
      <w:start w:val="4"/>
    </w:lvl>
  </w:abstractNum>
  <w:abstractNum w:abstractNumId="59">
    <w:nsid w:val="77AE35EB"/>
    <w:multiLevelType w:val="hybridMultilevel"/>
    <w:lvl w:ilvl="0">
      <w:lvlJc w:val="left"/>
      <w:lvlText w:val="%1."/>
      <w:numFmt w:val="decimal"/>
      <w:start w:val="6"/>
    </w:lvl>
    <w:lvl w:ilvl="1">
      <w:lvlJc w:val="left"/>
      <w:lvlText w:val="-"/>
      <w:numFmt w:val="bullet"/>
      <w:start w:val="1"/>
    </w:lvl>
  </w:abstractNum>
  <w:abstractNum w:abstractNumId="60">
    <w:nsid w:val="579BE4F1"/>
    <w:multiLevelType w:val="hybridMultilevel"/>
    <w:lvl w:ilvl="0">
      <w:lvlJc w:val="left"/>
      <w:lvlText w:val="(%1)"/>
      <w:numFmt w:val="lowerLetter"/>
      <w:start w:val="2"/>
    </w:lvl>
  </w:abstractNum>
  <w:abstractNum w:abstractNumId="61">
    <w:nsid w:val="310C50B3"/>
    <w:multiLevelType w:val="hybridMultilevel"/>
    <w:lvl w:ilvl="0">
      <w:lvlJc w:val="left"/>
      <w:lvlText w:val="%1."/>
      <w:numFmt w:val="decimal"/>
      <w:start w:val="2"/>
    </w:lvl>
  </w:abstractNum>
  <w:abstractNum w:abstractNumId="62">
    <w:nsid w:val="5FF87E05"/>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63">
    <w:nsid w:val="2F305DEF"/>
    <w:multiLevelType w:val="hybridMultilevel"/>
    <w:lvl w:ilvl="0">
      <w:lvlJc w:val="left"/>
      <w:lvlText w:val="%1."/>
      <w:numFmt w:val="decimal"/>
      <w:start w:val="4"/>
    </w:lvl>
  </w:abstractNum>
  <w:abstractNum w:abstractNumId="64">
    <w:nsid w:val="25A70BF7"/>
    <w:multiLevelType w:val="hybridMultilevel"/>
    <w:lvl w:ilvl="0">
      <w:lvlJc w:val="left"/>
      <w:lvlText w:val="%1."/>
      <w:numFmt w:val="decimal"/>
      <w:start w:val="6"/>
    </w:lvl>
    <w:lvl w:ilvl="1">
      <w:lvlJc w:val="left"/>
      <w:lvlText w:val="-"/>
      <w:numFmt w:val="bullet"/>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jpe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31" Type="http://schemas.openxmlformats.org/officeDocument/2006/relationships/hyperlink" Target="https://www.sec.gov/ix?doc=/Archives/edgar/data/1163165/000116316526000009/cop-20251231.htm" TargetMode="External"/><Relationship Id="rId32" Type="http://schemas.openxmlformats.org/officeDocument/2006/relationships/hyperlink" Target="https://www.sec.gov/ix?doc=/Archives/edgar/data/1163165/000110465926036366/tm2523177-3_def14a.htm" TargetMode="External"/><Relationship Id="rId33" Type="http://schemas.openxmlformats.org/officeDocument/2006/relationships/hyperlink" Target="https://www.sec.gov/ix?doc=/Archives/edgar/data/1163165/000116316526000018/cop-20260331.htm" TargetMode="External"/><Relationship Id="rId35" Type="http://schemas.openxmlformats.org/officeDocument/2006/relationships/hyperlink" Target="https://www.sec.gov/ix?doc=/Archives/edgar/data/1163165/000110465926061130/tm2614551d1_8k.htm" TargetMode="External"/><Relationship Id="rId36" Type="http://schemas.openxmlformats.org/officeDocument/2006/relationships/hyperlink" Target="https://www.sec.gov/ix?doc=/Archives/edgar/data/1163165/000110465926076836/tm2618585d1_8k.htm" TargetMode="External"/><Relationship Id="rId37" Type="http://schemas.openxmlformats.org/officeDocument/2006/relationships/hyperlink" Target="https://www.sec.gov/Archives/edgar/data/1163165/000089882202001082/aug02form8k.txt" TargetMode="External"/><Relationship Id="rId38" Type="http://schemas.openxmlformats.org/officeDocument/2006/relationships/hyperlink" Target="https://www.sec.gov/Archives/edgar/data/1163165/000119312520039954/d875559dex41.htm" TargetMode="External"/><Relationship Id="rId70" Type="http://schemas.openxmlformats.org/officeDocument/2006/relationships/hyperlink" Target="https://www.sec.gov/Archives/edgar/data/1163165/000095012908004130/h58804exv3w1.htm" TargetMode="External"/><Relationship Id="rId71" Type="http://schemas.openxmlformats.org/officeDocument/2006/relationships/hyperlink" Target="https://www.sec.gov/Archives/edgar/data/1163165/000089882202001082/ex3-2.txt" TargetMode="External"/><Relationship Id="rId72" Type="http://schemas.openxmlformats.org/officeDocument/2006/relationships/hyperlink" Target="https://www.sec.gov/Archives/edgar/data/1163165/000110465923061988/tm2316025d1_ex3-1.htm" TargetMode="External"/><Relationship Id="rId73" Type="http://schemas.openxmlformats.org/officeDocument/2006/relationships/hyperlink" Target="https://www.sec.gov/Archives/edgar/data/78214/000119312512489986/d448265dex341.htm" TargetMode="External"/><Relationship Id="rId74" Type="http://schemas.openxmlformats.org/officeDocument/2006/relationships/hyperlink" Target="https://www.sec.gov/Archives/edgar/data/78214/000119312512489986/d448265dex342.htm" TargetMode="External"/><Relationship Id="rId75" Type="http://schemas.openxmlformats.org/officeDocument/2006/relationships/hyperlink" Target="https://www.sec.gov/Archives/edgar/data/78214/000110465922092586/tm2223380d2_ex3-3.htm" TargetMode="External"/><Relationship Id="rId78" Type="http://schemas.openxmlformats.org/officeDocument/2006/relationships/hyperlink" Target="https://www.sec.gov/Archives/edgar/data/78214/000119312512489986/d448265dex35.htm" TargetMode="External"/><Relationship Id="rId79" Type="http://schemas.openxmlformats.org/officeDocument/2006/relationships/hyperlink" Target="https://www.sec.gov/Archives/edgar/data/78214/000095012902005642/h00847exv4w5.txt" TargetMode="External"/><Relationship Id="rId80" Type="http://schemas.openxmlformats.org/officeDocument/2006/relationships/hyperlink" Target="https://www.sec.gov/Archives/edgar/data/78214/000104746917006254/a2233465zex-4_2.htm" TargetMode="External"/><Relationship Id="rId81" Type="http://schemas.openxmlformats.org/officeDocument/2006/relationships/hyperlink" Target="https://www.sec.gov/Archives/edgar/data/1163165/000119312512495343/d450676dex41.htm" TargetMode="External"/><Relationship Id="rId82" Type="http://schemas.openxmlformats.org/officeDocument/2006/relationships/hyperlink" Target="https://www.sec.gov/Archives/edgar/data/1163165/000095012301509078/y55280ex4-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2026-06-30T16:16:10Z</dcterms:created>
  <dcterms:modified xsi:type="dcterms:W3CDTF">2026-06-30T16:16:10Z</dcterms:modified>
</cp:coreProperties>
</file>