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Olds Nicholas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units represent ConocoPhillips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units grant settles 3 years from date of grant, subject to earlier or partial settlement upon termination of employment due to layoff, death or disability, or a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 (by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aps/>
          <w:color w:val="000000"/>
          <w:sz w:val="24"/>
          <w:u w:val="single"/>
        </w:rPr>
      </w:pPr>
      <w:bookmarkStart w:id="2" w:name="cop-ex24.htm"/>
      <w:bookmarkStart w:id="3" w:name="kscopex24"/>
      <w:bookmarkEnd w:id="2"/>
      <w:bookmarkEnd w:id="3"/>
      <w:r>
        <w:rPr>
          <w:rFonts w:ascii="Times New Roman" w:hAnsi="Times New Roman"/>
          <w:b/>
          <w:caps/>
          <w:color w:val="000000"/>
          <w:sz w:val="24"/>
          <w:u w:val="single"/>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as my true and lawful attorney-in-fact with full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prepare, execute in my name and on my behalf, and file with the U.S. Securities and Exchange Commission (the “SEC”) any of the following forms which I may be required or permitted to file: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ID and any other documents necessary or appropriate to obtain codes and passwords enabling the undersigned to make electronic filings with the SEC of reports required by Section 16(a) of the Exchange Act or any rule or regulation of the SEC;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Forms 3, 4 and 5 or any other reports or statements of beneficial ownership or changes of beneficial ownership necessary or appropriate under Section 16(a)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144, or any other notice of proposed sale of securities or other document necessary or appropriate under Rule 144 of the Securities Act.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pStyle w:val="TextBody"/>
        <w:bidi w:val="0"/>
        <w:spacing w:before="0" w:after="160"/>
        <w:jc w:val="left"/>
        <w:rPr/>
      </w:pPr>
      <w:r>
        <w:rPr/>
        <w:t> </w:t>
      </w:r>
    </w:p>
    <w:p>
      <w:pPr>
        <w:pStyle w:val="TextBody"/>
        <w:bidi w:val="0"/>
        <w:spacing w:before="0" w:after="160"/>
        <w:jc w:val="center"/>
        <w:rPr>
          <w:rFonts w:ascii="Times New Roman" w:hAnsi="Times New Roman"/>
          <w:sz w:val="24"/>
        </w:rPr>
      </w:pPr>
      <w:r>
        <w:rPr>
          <w:rFonts w:ascii="Times New Roman" w:hAnsi="Times New Roman"/>
          <w:b/>
          <w:color w:val="000000"/>
          <w:sz w:val="24"/>
        </w:rPr>
        <w:t>[</w:t>
      </w:r>
      <w:r>
        <w:rPr>
          <w:rFonts w:ascii="Times New Roman" w:hAnsi="Times New Roman"/>
          <w:b/>
          <w:i/>
          <w:color w:val="000000"/>
          <w:sz w:val="24"/>
        </w:rPr>
        <w:t>Signature page follows</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 xml:space="preserve">th </w:t>
      </w:r>
      <w:r>
        <w:rPr>
          <w:rFonts w:ascii="Times New Roman" w:hAnsi="Times New Roman"/>
          <w:color w:val="000000"/>
          <w:sz w:val="24"/>
        </w:rPr>
        <w:t>day of May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Nicholas G. Olds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Nicholas G. Olds</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COUNTY OF HARRIS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On this 12</w:t>
      </w:r>
      <w:r>
        <w:rPr>
          <w:rFonts w:ascii="Times New Roman" w:hAnsi="Times New Roman"/>
          <w:color w:val="000000"/>
          <w:sz w:val="16"/>
        </w:rPr>
        <w:t xml:space="preserve">th </w:t>
      </w:r>
      <w:r>
        <w:rPr>
          <w:rFonts w:ascii="Times New Roman" w:hAnsi="Times New Roman"/>
          <w:color w:val="000000"/>
          <w:sz w:val="24"/>
        </w:rPr>
        <w:t>day of May 2026, Nicholas G. Olds personally appeared before me and acknowledged that he executed the foregoing instrument for the purposes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I have hereunto set my hand and official seal.</w:t>
      </w:r>
    </w:p>
    <w:p>
      <w:pPr>
        <w:pStyle w:val="TextBody"/>
        <w:bidi w:val="0"/>
        <w:spacing w:before="0" w:after="16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Heather Dawn Scott </w:t>
      </w:r>
    </w:p>
    <w:p>
      <w:pPr>
        <w:pStyle w:val="TextBody"/>
        <w:bidi w:val="0"/>
        <w:jc w:val="both"/>
        <w:rPr>
          <w:rFonts w:ascii="Times New Roman" w:hAnsi="Times New Roman"/>
          <w:color w:val="000000"/>
          <w:sz w:val="24"/>
        </w:rPr>
      </w:pPr>
      <w:r>
        <w:rPr>
          <w:rFonts w:ascii="Times New Roman" w:hAnsi="Times New Roman"/>
          <w:color w:val="000000"/>
          <w:sz w:val="24"/>
        </w:rPr>
        <w:t>Notary Public</w:t>
      </w:r>
    </w:p>
    <w:p>
      <w:pPr>
        <w:pStyle w:val="TextBody"/>
        <w:bidi w:val="0"/>
        <w:jc w:val="both"/>
        <w:rPr>
          <w:rFonts w:ascii="Times New Roman" w:hAnsi="Times New Roman"/>
          <w:color w:val="000000"/>
          <w:sz w:val="24"/>
        </w:rPr>
      </w:pPr>
      <w:r>
        <w:rPr>
          <w:rFonts w:ascii="Times New Roman" w:hAnsi="Times New Roman"/>
          <w:color w:val="000000"/>
          <w:sz w:val="24"/>
        </w:rPr>
        <w:t>My Commission Expires: May 24, 2028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979" TargetMode="External"/><Relationship Id="rId5" Type="http://schemas.openxmlformats.org/officeDocument/2006/relationships/hyperlink" Target="http://www.sec.gov/cgi-bin/browse-edgar?action=getcompany&amp;CIK=00011631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1112</Words>
  <Characters>5778</Characters>
  <CharactersWithSpaces>6802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