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May 4, 2023</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ConocoPhillips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8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2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001-32395</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01-0562944</w:t>
            </w:r>
          </w:p>
        </w:tc>
      </w:tr>
      <w:tr>
        <w:trPr>
          <w:trHeight w:val="216"/>
        </w:trPr>
        <w:tc>
          <w:tcPr>
            <w:tcW w:w="32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(Commission</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incorporation)</w:t>
            </w:r>
          </w:p>
        </w:tc>
        <w:tc>
          <w:tcPr>
            <w:tcW w:w="3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925 N. Eldridge Parkway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Houston, Texas 77079</w:t>
      </w: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 and zip code)</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 (</w:t>
      </w:r>
      <w:r>
        <w:rPr>
          <w:rFonts w:ascii="Times New Roman" w:cs="Times New Roman" w:eastAsia="Times New Roman" w:hAnsi="Times New Roman"/>
          <w:sz w:val="22"/>
          <w:szCs w:val="22"/>
          <w:b w:val="1"/>
          <w:bCs w:val="1"/>
          <w:color w:val="auto"/>
        </w:rPr>
        <w:t>281) 293-1000</w:t>
      </w:r>
    </w:p>
    <w:p>
      <w:pPr>
        <w:spacing w:after="0" w:line="21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Common Stock, $.01 Par Value</w:t>
            </w:r>
          </w:p>
        </w:tc>
        <w:tc>
          <w:tcPr>
            <w:tcW w:w="2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COP</w:t>
            </w: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Debentures due 2029</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CUSIP-718507BK1</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4, 2023 ConocoPhillips issued a press release announcing the company's financial and operating results for the quarter ended March 31, 2023. A copy of the press release is furnished as Exhibit 99.1 hereto and incorporated herein by reference. Additional financial and operating information about the quarter is furnished as Exhibit 99.2 hereto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No.   Description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Press release issued by ConocoPhillips on May 4, 2023</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Supplemental financial information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 and filed herewith).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Christopher P. Delk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4"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i w:val="1"/>
          <w:iCs w:val="1"/>
          <w:color w:val="auto"/>
        </w:rPr>
        <w:t>Christopher P. Delk</w:t>
      </w:r>
    </w:p>
    <w:p>
      <w:pPr>
        <w:spacing w:after="0" w:line="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Vice President, Controller and General Tax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4, 2023</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603"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0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43"/>
          <w:szCs w:val="43"/>
          <w:b w:val="1"/>
          <w:bCs w:val="1"/>
          <w:color w:val="auto"/>
        </w:rPr>
        <w:t>ConocoPhillips Reports First-Quarter 2023 Results; Raises Full-Year Production Guidance Midpoint and Declares Quarterly Dividend and Variable Return of Cash Distribution</w:t>
      </w:r>
    </w:p>
    <w:p>
      <w:pPr>
        <w:spacing w:after="0" w:line="2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HOUSTON--(BUSINESS WIRE)--May 4, 2023--ConocoPhillips (NYSE: COP) today reported first-quarter 2023 earnings and adjusted earnings of $2.9 billion, or $2.38 per share, compared with first-quarter 2022 earnings of $5.8 billion, or $4.39 per share, and first-quarter 2022 adjusted earnings of $4.3 billion, or $3.27 per share.</w:t>
      </w:r>
    </w:p>
    <w:p>
      <w:pPr>
        <w:spacing w:after="0" w:line="17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"Our first quarter results are a clear demonstration of the durable, returns-focused value proposition that we laid out at our recent analyst and investor meeting," said Ryan Lance, chairman and chief executive officer. "We achieved record production, advanced our joint venture at Port Arthur LNG, received a favorable record of decision for the Willow project in Alaska and announced plans to assume upstream operatorship of and further expand our ownership position at APLNG. We also accelerated our 2030 GHG emissions-intensity reduction target, progressing our net-zero operational emissions ambition.”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First-Quarter Highlights and Recent Announcements</w:t>
      </w:r>
    </w:p>
    <w:p>
      <w:pPr>
        <w:spacing w:after="0" w:line="210" w:lineRule="exact"/>
        <w:rPr>
          <w:sz w:val="20"/>
          <w:szCs w:val="20"/>
          <w:color w:val="auto"/>
        </w:rPr>
      </w:pPr>
    </w:p>
    <w:p>
      <w:pPr>
        <w:ind w:left="540" w:right="360"/>
        <w:spacing w:after="0" w:line="241" w:lineRule="auto"/>
        <w:rPr>
          <w:sz w:val="20"/>
          <w:szCs w:val="20"/>
          <w:color w:val="auto"/>
        </w:rPr>
      </w:pPr>
      <w:r>
        <w:rPr>
          <w:rFonts w:ascii="Times New Roman" w:cs="Times New Roman" w:eastAsia="Times New Roman" w:hAnsi="Times New Roman"/>
          <w:sz w:val="22"/>
          <w:szCs w:val="22"/>
          <w:color w:val="auto"/>
        </w:rPr>
        <w:t>Delivered record company and Lower 48 production of 1,792 thousand barrels of oil equivalent per day (MBOED) and 1,036 MBOED,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20"/>
        <w:spacing w:after="0" w:line="230" w:lineRule="auto"/>
        <w:rPr>
          <w:sz w:val="20"/>
          <w:szCs w:val="20"/>
          <w:color w:val="auto"/>
        </w:rPr>
      </w:pPr>
      <w:r>
        <w:rPr>
          <w:rFonts w:ascii="Times New Roman" w:cs="Times New Roman" w:eastAsia="Times New Roman" w:hAnsi="Times New Roman"/>
          <w:sz w:val="22"/>
          <w:szCs w:val="22"/>
          <w:color w:val="auto"/>
        </w:rPr>
        <w:t>Distributed $3.2 billion to shareholders through a three-tier return of capital framework, including $1.7 billion through share repurchases and $1.5 billion through the ordinary dividend and VROC.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Generated cash provided by operating activities of $5.4 billion and cash from operations (CFO) of $5.7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Ended the quarter with cash and short-term investments of $8.9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Acquired 30% equity interest in Port Arthur LNG joint venture upon final investment decision for Phase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30" w:lineRule="auto"/>
        <w:rPr>
          <w:sz w:val="20"/>
          <w:szCs w:val="20"/>
          <w:color w:val="auto"/>
        </w:rPr>
      </w:pPr>
      <w:r>
        <w:rPr>
          <w:rFonts w:ascii="Times New Roman" w:cs="Times New Roman" w:eastAsia="Times New Roman" w:hAnsi="Times New Roman"/>
          <w:sz w:val="22"/>
          <w:szCs w:val="22"/>
          <w:color w:val="auto"/>
        </w:rPr>
        <w:t>Commenced construction on the Willow project after receiving a positive record of decision from the U.S. Department of the Interior approving a development plan with three core pads.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520"/>
        <w:spacing w:after="0" w:line="230" w:lineRule="auto"/>
        <w:rPr>
          <w:sz w:val="20"/>
          <w:szCs w:val="20"/>
          <w:color w:val="auto"/>
        </w:rPr>
      </w:pPr>
      <w:r>
        <w:rPr>
          <w:rFonts w:ascii="Times New Roman" w:cs="Times New Roman" w:eastAsia="Times New Roman" w:hAnsi="Times New Roman"/>
          <w:sz w:val="22"/>
          <w:szCs w:val="22"/>
          <w:color w:val="auto"/>
        </w:rPr>
        <w:t>Announced plans to assume upstream operatorship of APLNG following the closing of EIG’s transaction with Origin Energy and to acquire up to an additional 2.49% shareholding interest, subject to regulatory approvals and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7" w:lineRule="auto"/>
        <w:rPr>
          <w:sz w:val="20"/>
          <w:szCs w:val="20"/>
          <w:color w:val="auto"/>
        </w:rPr>
      </w:pPr>
      <w:r>
        <w:rPr>
          <w:rFonts w:ascii="Times New Roman" w:cs="Times New Roman" w:eastAsia="Times New Roman" w:hAnsi="Times New Roman"/>
          <w:sz w:val="22"/>
          <w:szCs w:val="22"/>
          <w:color w:val="auto"/>
        </w:rPr>
        <w:t>Accelerated the company’s GHG emissions-intensity reduction target through 2030 from 40-50% to 50-60%, using a 2016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Dividend and Variable Return of Cash</w:t>
      </w:r>
    </w:p>
    <w:p>
      <w:pPr>
        <w:spacing w:after="0" w:line="21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ConocoPhillips announced a quarterly ordinary dividend of $0.51 per share, payable June 1, 2023, to stockholders of record at the close of business on May 16, 2023. In addition, the company announced a VROC of $0.60 per share, payable July 14, 2023, to stockholders of record at the close of business on June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First-Quarter Review</w:t>
      </w:r>
    </w:p>
    <w:p>
      <w:pPr>
        <w:spacing w:after="0" w:line="21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Production for the first quarter of 2023 was 1,792 MBOED, an increase of 45 MBOED from the same period a year ago. After adjusting for impacts from closed acquisitions and dispositions, first-quarter 2023 production increased by 65 MBOED or 4% from the same period a year ago. This was primarily driven by new wells online in the Lower 48 and improved well performance across the portfolio, partially offset by normal field decline and downtime.</w:t>
      </w:r>
    </w:p>
    <w:p>
      <w:pPr>
        <w:spacing w:after="0" w:line="18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In the Lower 48, first-quarter production averaged 1,036 MBOED, including 694 MBOED from the Permian, 227 MBOED from the Eagle Ford and 98 MBOED from the Bakken. Operationally, a stabilizer expansion in the Eagle Ford and a planned turnaround at QatarGas 3 were successfully completed.</w:t>
      </w:r>
    </w:p>
    <w:p>
      <w:pPr>
        <w:spacing w:after="0" w:line="17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Earnings decreased from the first quarter of 2022 primarily due to lower realized prices partially offset by commercial performance and timing, as well as the absence of special items referenced in Table 1 of this release. Excluding special items, adjusted earnings decreased compared with the first quarter of 2022 due to lower realized prices partially offset by a benefit from commercial performance and timing. The company’s total average realized price was $60.86 per barrel of oil equivalent (BOE), 21% lower than the $76.99 per BOE realized in the first quarter of 2022.</w:t>
      </w:r>
    </w:p>
    <w:p>
      <w:pPr>
        <w:spacing w:after="0" w:line="177"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For the quarter, cash provided by operating activities was $5.4 billion. Excluding a $0.3 billion change in operating working capital, the company generated CFO of $5.7 billion and received disposition proceeds of $0.2 billion. The company funded $2.9 billion of capital expenditures and investments, including $0.4 billion for its investment in the joint venture responsible for development of Port Arthur LNG and $0.1 billion in Lower 48 acquisitions. In addition, the company repurchased $1.7 billion of shares and paid $1.5 billion in ordinary dividends and VROC.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w:t>
      </w:r>
    </w:p>
    <w:p>
      <w:pPr>
        <w:spacing w:after="0" w:line="21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Second-quarter 2023 production is expected to be 1.77 to 1.81 million barrels of oil equivalent per day (MMBOED). The company raised full-year production guidance midpoint by 10 MBOED. Full-year production is now expected to be 1.78 to 1.80 MMBOED, as compared to prior guidance of 1.76 to 1.80 MMBOED.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Full-year guidance for other items is unchanged.</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ConocoPhillips will host a conference call today at 12:00 p.m. Eastern time to discuss this announcement. To listen to the call and view related presentation materials and supplemental information, go to </w:t>
      </w:r>
      <w:r>
        <w:rPr>
          <w:rFonts w:ascii="Times New Roman" w:cs="Times New Roman" w:eastAsia="Times New Roman" w:hAnsi="Times New Roman"/>
          <w:sz w:val="22"/>
          <w:szCs w:val="22"/>
          <w:i w:val="1"/>
          <w:iCs w:val="1"/>
          <w:color w:val="auto"/>
        </w:rPr>
        <w:t>www.conocophillips.com/investor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ConocoPhillips</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 xml:space="preserve">ConocoPhillips is one of the world’s leading exploration and production companies based on both production and reserves, with a globally diversified asset portfolio. Headquartered in Houston, Texas, ConocoPhillips had operations and activities in 13 countries, $91 billion of total assets and approximately 9,600 employees at March 31, 2023. Production averaged 1,792 MBOED for the three months ended March 31, 2023, and proved reserves were 6.6 BBOE as of Dec. 31, 2022. For more information, go to </w:t>
      </w:r>
      <w:r>
        <w:rPr>
          <w:rFonts w:ascii="Times New Roman" w:cs="Times New Roman" w:eastAsia="Times New Roman" w:hAnsi="Times New Roman"/>
          <w:sz w:val="22"/>
          <w:szCs w:val="22"/>
          <w:i w:val="1"/>
          <w:iCs w:val="1"/>
          <w:color w:val="auto"/>
        </w:rPr>
        <w:t>www.conocophillips.com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right="2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CAUTIONARY STATEMENT FOR THE PURPOSES OF THE "SAFE HARBOR" PROVISIONS OF THE PRIVATE SECURITIES LITIGATION REFORM ACT OF 1995</w:t>
      </w:r>
    </w:p>
    <w:p>
      <w:pPr>
        <w:spacing w:after="0" w:line="15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i w:val="1"/>
          <w:iCs w:val="1"/>
          <w:color w:val="auto"/>
        </w:rPr>
        <w:t>This news release contains forward-looking statements as defined under the federal securities laws. Forward-looking statements relate to future events, plans and anticipated results of operations, business strategies, and other aspects of our operations or operating results. Words and phrases such as “anticipate," “estimate,” “believe,” “budget,” “continue,” “could,” “intend,” “may,” “plan,” “potential,” “predict," “seek,” “should,” “will,” “would,” “expect,” “objective,” “projection,” “forecast,” “goal,” “guidance,” “outlook,” “effort,” “target” and other similar words can be used to identify forward-looking statements. However, the absence of these words does not mean that the statements are not forward-looking. Where, in any forward-looking statement, the company expresses an expectation or belief as to future results, such expectation or belief is expressed in good faith and believed to be reasonable at the time such forward-looking statement is made. However, these statements are not guarantees of future performance and involve certain risks, uncertainties and other factors beyond our control. Therefore, actual outcomes and results may differ materially from what is expressed or forecast in the forward-looking statements. Factors that could cause actual results or events to differ materially from what is presented include changes in commodity prices, including a prolonged decline in these prices relative to historical or future expected levels; global and regional changes in the demand, supply, prices, differentials or other market conditions affecting oil and gas, including changes resulting from any ongoing military conflict, including the conflict between Russia and Ukraine, and the global response to such conflict, security threats on facilities and infrastructure, or from a public health crisis or from the imposition or lifting of crude oil production quotas or other actions that might be imposed by OPEC and other producing countries and the resulting company or third-party actions in response to such changes; insufficient liquidity or other factors, such as those listed herein, that could impact our ability to repurchase shares and declare and pay dividends such that we suspend our share repurchase program and reduce, suspend, or totally eliminate dividend payments in the future, whether variable or fixed; changes in expected levels of oil and gas reserves or production; potential failures or delays in achieving expected reserve or production levels from existing and future oil and gas developments, including due to operating hazards, drilling risks or unsuccessful exploratory activities; unexpected cost increases, inflationary pressures or technical difficulties in constructing, maintaining or modifying company facilities; legislative and regulatory initiatives addressing global climate change or other environmental concerns; public health crises, including pandemics (such as COVID-19) and epidemics and any impacts or related company or government policies or actions; investment in and development of competing or alternative energy sources; potential failures or delays in delivering on our current or future low-carbon strategy, including our inability to develop new technologies; disruptions or interruptions impacting the transportation for our oil and gas production; international monetary conditions and exchange rate fluctuations; changes in international trade relationships or governmental policies, including the imposition of price caps, or the imposition of trade restrictions or tariffs on any materials or products (such as aluminum and steel) used in the operation of our business, including any sanctions imposed as a result of any ongoing military conflict, including the conflict between Russia and Ukraine; our ability to collect payments when due, including our ability to collect payments from the government of Venezuela or PDVSA; our ability to complete any announced or any future dispositions or acquisitions on time, if at all; the possibility that regulatory approvals for any announced or any future dispositions or acquisitions will not be received on a timely basis, if at all, or that such approvals may require modification to the terms of the transactions or our remaining business; business disruptions following any announced or future dispositions or acquisitions, including the diversion of management time and attention; the ability to deploy net proceeds from our announced or any future dispositions in the manner and timeframe we anticipate, if at all; potential liability for remedial actions under existing or future environmental regulations; potential liability resulting from pending or future litigation, including litigation related directly or indirectly to our transaction with Concho Resources Inc.; the impact of competition and consolidation in the oil and gas industry; limited access to capital or insurance or significantly higher cost of capital or insurance related to illiquidity or uncertainty in the domestic or international financial markets or investor sentiment; general domestic and international economic and political conditions or developments, including as a result of any ongoing military conflict, including the conflict between Russia and Ukraine; changes in fiscal regime or tax, environmental and other laws applicable to our business; and disruptions resulting from accidents, extraordinary weather events, civil unrest, political events, war, terrorism, cybersecurity threats or information technology failures, constraints or disruptions; and other economic, business, competitive and/or regulatory factors affecting our business generally as set forth in our filings with the Securities and Exchange Commission. Unless legally required, ConocoPhillips expressly disclaims any obligation to update any forward-looking statements, whether as a result of new information, future events or otherwise.</w:t>
      </w:r>
    </w:p>
    <w:p>
      <w:pPr>
        <w:spacing w:after="0" w:line="200" w:lineRule="exact"/>
        <w:rPr>
          <w:sz w:val="20"/>
          <w:szCs w:val="20"/>
          <w:color w:val="auto"/>
        </w:rPr>
      </w:pPr>
    </w:p>
    <w:p>
      <w:pPr>
        <w:spacing w:after="0" w:line="23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Cautionary Note to U.S. Investors </w:t>
      </w:r>
      <w:r>
        <w:rPr>
          <w:rFonts w:ascii="Times New Roman" w:cs="Times New Roman" w:eastAsia="Times New Roman" w:hAnsi="Times New Roman"/>
          <w:sz w:val="21"/>
          <w:szCs w:val="21"/>
          <w:i w:val="1"/>
          <w:iCs w:val="1"/>
          <w:color w:val="auto"/>
        </w:rPr>
        <w:t>– The SEC permits oil and gas companies, in their filings with the SEC, to disclose only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proved, probable and possible reserves. We may use the term “resource” in this news release that the SEC’s guidelines prohibit us from including in filings with the SEC. U.S. investors are urged to consider closely the oil and gas disclosures in our Form 10-K and other reports and filings with the SEC. Copies are available from the SEC and from the ConocoPhillips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right="22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Use of Non-GAAP Financial Information </w:t>
      </w:r>
      <w:r>
        <w:rPr>
          <w:rFonts w:ascii="Times New Roman" w:cs="Times New Roman" w:eastAsia="Times New Roman" w:hAnsi="Times New Roman"/>
          <w:sz w:val="22"/>
          <w:szCs w:val="22"/>
          <w:i w:val="1"/>
          <w:iCs w:val="1"/>
          <w:color w:val="auto"/>
        </w:rPr>
        <w:t>– To supplement the presentation of the company’s financial results prepared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accordance with U.S. generally accepted accounting principles (GAAP), this news release and the accompanying supplemental financial information contain certain financial measures that are not prepared in accordance with GAAP, including adjusted earnings (calculated on a consolidated and on a segment-level basis), adjusted earnings per share and cash from operations (CFO).</w:t>
      </w:r>
    </w:p>
    <w:p>
      <w:pPr>
        <w:spacing w:after="0" w:line="17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i w:val="1"/>
          <w:iCs w:val="1"/>
          <w:color w:val="auto"/>
        </w:rPr>
        <w:t>The company believes that the non-GAAP measure adjusted earnings (both on an aggregate and a per-share basis) is useful to investors to help facilitate comparisons of the company’s operating performance associated with the company’s core business operations across periods on a consistent basis and with the performance and cost structures of peer companies by excluding items that do not directly relate to the company’s core business operations. The company further believes that the non-GAAP measure CFO is useful to investors to help understand changes in cash provided by operating activities excluding the timing effects associated with operating working capital changes across periods on a consistent basis and with the performance of peer companies. The company believes that the above-mentioned non-GAAP measures, when viewed in combination with the company’s results prepared in accordance with GAAP, provides a more complete understanding of the factors and trends affecting the company’s business and performance. The company’s Board of Directors and management also use these non-GAAP measures to analyze the company’s operating performance across periods when overseeing and managing the company’s business.</w:t>
      </w:r>
    </w:p>
    <w:p>
      <w:pPr>
        <w:spacing w:after="0" w:line="17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i w:val="1"/>
          <w:iCs w:val="1"/>
          <w:color w:val="auto"/>
        </w:rPr>
        <w:t>Each of the non-GAAP measures included in this news release and the accompanying supplemental financial information has limitations as an analytical tool and should not be considered in isolation or as a substitute for an analysis of the company’s results calculated in accordance with GAAP. In addition, because not all companies use identical calculations, the company’s presentation of non-GAAP measures in this news release and the accompanying supplemental financial information may not be comparable to similarly titled measures disclosed by other companies, including companies in our industry. The company may also change the calculation of any of the non-GAAP measures included in this news release and the accompanying supplemental financial information from time to time in light of its then existing operations to include other adjustments that may impact its operations.</w:t>
      </w:r>
    </w:p>
    <w:p>
      <w:pPr>
        <w:spacing w:after="0" w:line="178"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22"/>
          <w:szCs w:val="22"/>
          <w:i w:val="1"/>
          <w:iCs w:val="1"/>
          <w:color w:val="auto"/>
        </w:rPr>
        <w:t>Reconciliations of each non-GAAP measure presented in this news release to the most directly comparable financial measure calculated in accordance with GAAP are included in the release.</w:t>
      </w:r>
    </w:p>
    <w:p>
      <w:pPr>
        <w:spacing w:after="0" w:line="15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i w:val="1"/>
          <w:iCs w:val="1"/>
          <w:color w:val="auto"/>
        </w:rPr>
        <w:t>Other Terms – This news release also contains the term pro forma underlying production. Pro forma underlying production reflects the impact of closed acquisitions and closed dispositions as of March 31, 2023. The impact of closed acquisitions and dispositions assumes a closing date of January 1, 2022. The company believes that underlying production is useful to investors to compare production reflecting the impact of closed acquisitions and dispositions on a consistent go-forward basis across periods and with peer companies. Return of capital is defined as the total of the ordinary dividend, share repurchases and variable return of cash (VROC).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References in the release to earnings refer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ConocoPhillips</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Reconciliation of earnings to adjusted earnings</w:t>
            </w: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Millions, Except as Indicated</w:t>
            </w:r>
          </w:p>
        </w:tc>
        <w:tc>
          <w:tcPr>
            <w:tcW w:w="7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1Q23</w:t>
            </w: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Pre-tax Income After-tax</w:t>
            </w:r>
          </w:p>
        </w:tc>
        <w:tc>
          <w:tcPr>
            <w:tcW w:w="7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Per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tax</w:t>
            </w:r>
          </w:p>
        </w:tc>
        <w:tc>
          <w:tcPr>
            <w:tcW w:w="460" w:type="dxa"/>
            <w:vAlign w:val="bottom"/>
          </w:tcPr>
          <w:p>
            <w:pPr>
              <w:spacing w:after="0"/>
              <w:rPr>
                <w:sz w:val="18"/>
                <w:szCs w:val="18"/>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 of</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common</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w:t>
            </w:r>
          </w:p>
        </w:tc>
      </w:tr>
      <w:tr>
        <w:trPr>
          <w:trHeight w:val="238"/>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(dollars)</w:t>
            </w: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7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2,920</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2.38</w:t>
            </w: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asset sales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adjustments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CVE shares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debt extinguishment and exchange fees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restructuring expenses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Loss on FX derivative</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earnings / (loss)</w:t>
            </w: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2,920</w:t>
            </w: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2.38</w:t>
            </w:r>
          </w:p>
        </w:tc>
        <w:tc>
          <w:tcPr>
            <w:tcW w:w="20" w:type="dxa"/>
            <w:vAlign w:val="bottom"/>
            <w:tcBorders>
              <w:bottom w:val="single" w:sz="8" w:color="auto"/>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240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240405"/>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1Q22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Pre-tax  Income  After-tax</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share</w:t>
            </w:r>
          </w:p>
        </w:tc>
      </w:tr>
      <w:tr>
        <w:trPr>
          <w:trHeight w:val="216"/>
        </w:trPr>
        <w:tc>
          <w:tcPr>
            <w:tcW w:w="88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tax</w:t>
            </w:r>
          </w:p>
        </w:tc>
        <w:tc>
          <w:tcPr>
            <w:tcW w:w="6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w:t>
            </w: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w:t>
            </w:r>
          </w:p>
        </w:tc>
      </w:tr>
      <w:tr>
        <w:trPr>
          <w:trHeight w:val="238"/>
        </w:trPr>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w:t>
            </w:r>
          </w:p>
        </w:tc>
      </w:tr>
      <w:tr>
        <w:trPr>
          <w:trHeight w:val="243"/>
        </w:trPr>
        <w:tc>
          <w:tcPr>
            <w:tcW w:w="8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5,759</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4.39</w:t>
            </w:r>
          </w:p>
        </w:tc>
      </w:tr>
      <w:tr>
        <w:trPr>
          <w:trHeight w:val="486"/>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(763)</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43"/>
        </w:trPr>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43"/>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43"/>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250"/>
        </w:trPr>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241"/>
        </w:trPr>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120"/>
            <w:col w:w="3200"/>
          </w:cols>
          <w:pgMar w:left="440" w:top="387" w:right="439" w:bottom="1440" w:gutter="0" w:footer="0" w:header="0"/>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effects of the special items are primarily calculated based on the statutory rate of the jurisdiction in which the discrete item resides.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387" w:right="439" w:bottom="1440" w:gutter="0" w:footer="0" w:header="0"/>
          <w:type w:val="continuous"/>
        </w:sectPr>
      </w:pPr>
    </w:p>
    <w:bookmarkStart w:id="8" w:name="page9"/>
    <w:bookmarkEnd w:id="8"/>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974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974340"/>
                    </a:xfrm>
                    <a:prstGeom prst="rect">
                      <a:avLst/>
                    </a:prstGeom>
                    <a:noFill/>
                  </pic:spPr>
                </pic:pic>
              </a:graphicData>
            </a:graphic>
          </wp:anchor>
        </w:drawing>
        <w:t>ConocoPhillips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2: Reconciliation of reported production to pro forma underlying production</w:t>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MBOED, Except as Indicated</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1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1Q23</w:t>
            </w:r>
          </w:p>
        </w:tc>
        <w:tc>
          <w:tcPr>
            <w:tcW w:w="9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1Q22</w:t>
            </w: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Reported ConocoPhillips Production</w:t>
            </w:r>
          </w:p>
        </w:tc>
        <w:tc>
          <w:tcPr>
            <w:tcW w:w="11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1,792</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1,747</w:t>
            </w:r>
          </w:p>
        </w:tc>
      </w:tr>
      <w:tr>
        <w:trPr>
          <w:trHeight w:val="480"/>
        </w:trPr>
        <w:tc>
          <w:tcPr>
            <w:tcW w:w="20" w:type="dxa"/>
            <w:vAlign w:val="bottom"/>
          </w:tcPr>
          <w:p>
            <w:pPr>
              <w:spacing w:after="0"/>
              <w:rPr>
                <w:sz w:val="24"/>
                <w:szCs w:val="24"/>
                <w:color w:val="auto"/>
              </w:rPr>
            </w:pP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Closed Dispositions</w:t>
            </w:r>
            <w:r>
              <w:rPr>
                <w:rFonts w:ascii="Times New Roman" w:cs="Times New Roman" w:eastAsia="Times New Roman" w:hAnsi="Times New Roman"/>
                <w:sz w:val="29"/>
                <w:szCs w:val="29"/>
                <w:color w:val="auto"/>
                <w:vertAlign w:val="superscript"/>
              </w:rPr>
              <w:t>1</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8"/>
        </w:trPr>
        <w:tc>
          <w:tcPr>
            <w:tcW w:w="20" w:type="dxa"/>
            <w:vAlign w:val="bottom"/>
          </w:tcPr>
          <w:p>
            <w:pPr>
              <w:spacing w:after="0"/>
              <w:rPr>
                <w:sz w:val="22"/>
                <w:szCs w:val="22"/>
                <w:color w:val="auto"/>
              </w:rPr>
            </w:pPr>
          </w:p>
        </w:tc>
        <w:tc>
          <w:tcPr>
            <w:tcW w:w="8600" w:type="dxa"/>
            <w:vAlign w:val="bottom"/>
            <w:tcBorders>
              <w:bottom w:val="single" w:sz="8" w:color="auto"/>
            </w:tcBorders>
            <w:gridSpan w:val="2"/>
          </w:tcPr>
          <w:p>
            <w:pPr>
              <w:ind w:left="200"/>
              <w:spacing w:after="0" w:line="258" w:lineRule="exact"/>
              <w:rPr>
                <w:sz w:val="20"/>
                <w:szCs w:val="20"/>
                <w:color w:val="auto"/>
              </w:rPr>
            </w:pPr>
            <w:r>
              <w:rPr>
                <w:rFonts w:ascii="Times New Roman" w:cs="Times New Roman" w:eastAsia="Times New Roman" w:hAnsi="Times New Roman"/>
                <w:sz w:val="18"/>
                <w:szCs w:val="18"/>
                <w:color w:val="auto"/>
              </w:rPr>
              <w:t xml:space="preserve">Closed Acquisitions </w:t>
            </w:r>
            <w:r>
              <w:rPr>
                <w:rFonts w:ascii="Times New Roman" w:cs="Times New Roman" w:eastAsia="Times New Roman" w:hAnsi="Times New Roman"/>
                <w:sz w:val="29"/>
                <w:szCs w:val="29"/>
                <w:color w:val="auto"/>
                <w:vertAlign w:val="superscript"/>
              </w:rPr>
              <w:t>2</w:t>
            </w: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2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 Forma Underlying Production</w:t>
            </w: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1,790</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1,715</w:t>
            </w:r>
          </w:p>
        </w:tc>
      </w:tr>
      <w:tr>
        <w:trPr>
          <w:trHeight w:val="20"/>
        </w:trPr>
        <w:tc>
          <w:tcPr>
            <w:tcW w:w="20" w:type="dxa"/>
            <w:vAlign w:val="bottom"/>
          </w:tcPr>
          <w:p>
            <w:pPr>
              <w:spacing w:after="0" w:line="20" w:lineRule="exact"/>
              <w:rPr>
                <w:sz w:val="1"/>
                <w:szCs w:val="1"/>
                <w:color w:val="auto"/>
              </w:rPr>
            </w:pPr>
          </w:p>
        </w:tc>
        <w:tc>
          <w:tcPr>
            <w:tcW w:w="86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69"/>
        </w:trPr>
        <w:tc>
          <w:tcPr>
            <w:tcW w:w="8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Estimated Uplift from 2 to 3 stream conversion</w:t>
            </w:r>
            <w:r>
              <w:rPr>
                <w:rFonts w:ascii="Times New Roman" w:cs="Times New Roman" w:eastAsia="Times New Roman" w:hAnsi="Times New Roman"/>
                <w:sz w:val="29"/>
                <w:szCs w:val="29"/>
                <w:b w:val="1"/>
                <w:bCs w:val="1"/>
                <w:color w:val="auto"/>
                <w:vertAlign w:val="superscript"/>
              </w:rPr>
              <w:t>3</w:t>
            </w: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Includes production related to the completed Indonesia disposition and various Lower 48 dispositions.</w:t>
      </w:r>
    </w:p>
    <w:p>
      <w:pPr>
        <w:ind w:left="120" w:right="460"/>
        <w:spacing w:after="0" w:line="197" w:lineRule="auto"/>
        <w:rPr>
          <w:sz w:val="20"/>
          <w:szCs w:val="20"/>
          <w:color w:val="auto"/>
        </w:rPr>
      </w:pPr>
      <w:r>
        <w:rPr>
          <w:rFonts w:ascii="Times New Roman" w:cs="Times New Roman" w:eastAsia="Times New Roman" w:hAnsi="Times New Roman"/>
          <w:sz w:val="29"/>
          <w:szCs w:val="29"/>
          <w:i w:val="1"/>
          <w:iCs w:val="1"/>
          <w:color w:val="auto"/>
          <w:vertAlign w:val="superscript"/>
        </w:rPr>
        <w:t>2</w:t>
      </w:r>
      <w:r>
        <w:rPr>
          <w:rFonts w:ascii="Times New Roman" w:cs="Times New Roman" w:eastAsia="Times New Roman" w:hAnsi="Times New Roman"/>
          <w:sz w:val="18"/>
          <w:szCs w:val="18"/>
          <w:i w:val="1"/>
          <w:iCs w:val="1"/>
          <w:color w:val="auto"/>
        </w:rPr>
        <w:t>Includes production related to the acquisitions related to additional 10% shareholding interest in APLNG, additional 4% shareholding interest in Libya and a Lower 48 bolt-on acquisition.</w:t>
      </w:r>
    </w:p>
    <w:p>
      <w:pPr>
        <w:spacing w:after="0" w:line="1" w:lineRule="exact"/>
        <w:rPr>
          <w:sz w:val="20"/>
          <w:szCs w:val="20"/>
          <w:color w:val="auto"/>
        </w:rPr>
      </w:pPr>
    </w:p>
    <w:p>
      <w:pPr>
        <w:ind w:left="120" w:right="100"/>
        <w:spacing w:after="0" w:line="203" w:lineRule="auto"/>
        <w:rPr>
          <w:sz w:val="20"/>
          <w:szCs w:val="20"/>
          <w:color w:val="auto"/>
        </w:rPr>
      </w:pP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Estimated production impacts from the conversion of Concho two-stream contracted volumes to a three-stream (crude oil, natural gas and natural gas liquids) reporting basis, which are not included in Total Production and Total Underlying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39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39900"/>
                    </a:xfrm>
                    <a:prstGeom prst="rect">
                      <a:avLst/>
                    </a:prstGeom>
                    <a:noFill/>
                  </pic:spPr>
                </pic:pic>
              </a:graphicData>
            </a:graphic>
          </wp:anchor>
        </w:drawing>
      </w: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36" w:lineRule="exact"/>
        <w:rPr>
          <w:sz w:val="20"/>
          <w:szCs w:val="20"/>
          <w:color w:val="auto"/>
        </w:rPr>
      </w:pPr>
    </w:p>
    <w:p>
      <w:pPr>
        <w:ind w:left="120" w:right="406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Table 3: Reconciliation of net cash provided by operating activities to cash from operations </w:t>
      </w:r>
      <w:r>
        <w:rPr>
          <w:rFonts w:ascii="Times New Roman" w:cs="Times New Roman" w:eastAsia="Times New Roman" w:hAnsi="Times New Roman"/>
          <w:sz w:val="18"/>
          <w:szCs w:val="18"/>
          <w:color w:val="auto"/>
        </w:rPr>
        <w:t>$ Millions, Except as Indicated</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3480" w:type="dxa"/>
            <w:vAlign w:val="bottom"/>
            <w:tcBorders>
              <w:top w:val="single" w:sz="8" w:color="auto"/>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1Q23</w:t>
            </w:r>
          </w:p>
        </w:tc>
      </w:tr>
      <w:tr>
        <w:trPr>
          <w:trHeight w:val="23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5,403</w:t>
            </w:r>
          </w:p>
        </w:tc>
      </w:tr>
      <w:tr>
        <w:trPr>
          <w:trHeight w:val="481"/>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operating working capital changes</w:t>
            </w: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8"/>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operations</w:t>
            </w:r>
          </w:p>
        </w:tc>
        <w:tc>
          <w:tcPr>
            <w:tcW w:w="3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Dennis Nuss (media)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281-293-1149</w:t>
      </w:r>
    </w:p>
    <w:p>
      <w:pPr>
        <w:spacing w:after="0"/>
        <w:rPr>
          <w:sz w:val="20"/>
          <w:szCs w:val="20"/>
          <w:color w:val="auto"/>
        </w:rPr>
      </w:pPr>
      <w:r>
        <w:rPr>
          <w:rFonts w:ascii="Times New Roman" w:cs="Times New Roman" w:eastAsia="Times New Roman" w:hAnsi="Times New Roman"/>
          <w:sz w:val="22"/>
          <w:szCs w:val="22"/>
          <w:i w:val="1"/>
          <w:iCs w:val="1"/>
          <w:color w:val="auto"/>
        </w:rPr>
        <w:t>dennis.nuss@conocophillips.com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281-293-5000</w:t>
      </w:r>
    </w:p>
    <w:p>
      <w:pPr>
        <w:spacing w:after="0"/>
        <w:rPr>
          <w:sz w:val="20"/>
          <w:szCs w:val="20"/>
          <w:color w:val="auto"/>
        </w:rPr>
      </w:pPr>
      <w:r>
        <w:rPr>
          <w:rFonts w:ascii="Times New Roman" w:cs="Times New Roman" w:eastAsia="Times New Roman" w:hAnsi="Times New Roman"/>
          <w:sz w:val="22"/>
          <w:szCs w:val="22"/>
          <w:i w:val="1"/>
          <w:iCs w:val="1"/>
          <w:color w:val="auto"/>
        </w:rPr>
        <w:t>investor.relations@conocophillips.com</w:t>
      </w:r>
    </w:p>
    <w:p>
      <w:pPr>
        <w:sectPr>
          <w:pgSz w:w="11900" w:h="16838" w:orient="portrait"/>
          <w:cols w:equalWidth="0" w:num="1">
            <w:col w:w="11140"/>
          </w:cols>
          <w:pgMar w:left="320" w:top="144" w:right="439" w:bottom="1440" w:gutter="0" w:footer="0" w:header="0"/>
        </w:sectPr>
      </w:pPr>
    </w:p>
    <w:bookmarkStart w:id="9" w:name="page10"/>
    <w:bookmarkEnd w:id="9"/>
    <w:p>
      <w:pPr>
        <w:spacing w:after="0" w:line="62" w:lineRule="exact"/>
        <w:rPr>
          <w:sz w:val="20"/>
          <w:szCs w:val="20"/>
          <w:color w:val="auto"/>
        </w:rPr>
      </w:pPr>
    </w:p>
    <w:tbl>
      <w:tblPr>
        <w:tblLayout w:type="fixed"/>
        <w:tblInd w:w="270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Exhibit 99.2</w:t>
            </w:r>
          </w:p>
        </w:tc>
      </w:tr>
      <w:tr>
        <w:trPr>
          <w:trHeight w:val="743"/>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First-Quarter 2023 Detailed Supplemental Information</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2"/>
        </w:trPr>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0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1st Qtr</w:t>
            </w:r>
          </w:p>
        </w:tc>
        <w:tc>
          <w:tcPr>
            <w:tcW w:w="94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2nd Qtr</w:t>
            </w:r>
          </w:p>
        </w:tc>
        <w:tc>
          <w:tcPr>
            <w:tcW w:w="11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3rd Qtr</w:t>
            </w:r>
          </w:p>
        </w:tc>
        <w:tc>
          <w:tcPr>
            <w:tcW w:w="116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4th Qtr</w:t>
            </w:r>
          </w:p>
        </w:tc>
        <w:tc>
          <w:tcPr>
            <w:tcW w:w="8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YTD</w:t>
            </w:r>
          </w:p>
        </w:tc>
        <w:tc>
          <w:tcPr>
            <w:tcW w:w="80" w:type="dxa"/>
            <w:vAlign w:val="bottom"/>
          </w:tcPr>
          <w:p>
            <w:pPr>
              <w:spacing w:after="0"/>
              <w:rPr>
                <w:sz w:val="16"/>
                <w:szCs w:val="16"/>
                <w:color w:val="auto"/>
              </w:rPr>
            </w:pPr>
          </w:p>
        </w:tc>
        <w:tc>
          <w:tcPr>
            <w:tcW w:w="10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1st Qtr</w:t>
            </w:r>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2nd</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3rd</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4th</w:t>
            </w:r>
          </w:p>
        </w:tc>
        <w:tc>
          <w:tcPr>
            <w:tcW w:w="1000" w:type="dxa"/>
            <w:vAlign w:val="bottom"/>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auto"/>
              </w:rPr>
              <w:t>YTD</w:t>
            </w:r>
          </w:p>
        </w:tc>
        <w:tc>
          <w:tcPr>
            <w:tcW w:w="20" w:type="dxa"/>
            <w:vAlign w:val="bottom"/>
          </w:tcPr>
          <w:p>
            <w:pPr>
              <w:spacing w:after="0"/>
              <w:rPr>
                <w:sz w:val="16"/>
                <w:szCs w:val="16"/>
                <w:color w:val="auto"/>
              </w:rPr>
            </w:pPr>
          </w:p>
        </w:tc>
      </w:tr>
      <w:tr>
        <w:trPr>
          <w:trHeight w:val="238"/>
        </w:trPr>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Qtr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Qtr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Qtr</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0072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072370"/>
                    </a:xfrm>
                    <a:prstGeom prst="rect">
                      <a:avLst/>
                    </a:prstGeom>
                    <a:noFill/>
                  </pic:spPr>
                </pic:pic>
              </a:graphicData>
            </a:graphic>
          </wp:anchor>
        </w:drawing>
      </w: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Millions, Except as Indicated</w:t>
      </w:r>
    </w:p>
    <w:p>
      <w:pPr>
        <w:spacing w:after="0" w:line="27" w:lineRule="exact"/>
        <w:rPr>
          <w:rFonts w:ascii="Times New Roman" w:cs="Times New Roman" w:eastAsia="Times New Roman" w:hAnsi="Times New Roman"/>
          <w:sz w:val="18"/>
          <w:szCs w:val="18"/>
          <w:color w:val="auto"/>
        </w:rPr>
      </w:pPr>
    </w:p>
    <w:p>
      <w:pPr>
        <w:ind w:right="8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070C0"/>
        </w:rPr>
        <w:t>CONSOLIDATED INCOME STATEMENT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and Other Income</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17,762</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21,161</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21,013</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18,558</w:t>
            </w:r>
          </w:p>
        </w:tc>
        <w:tc>
          <w:tcPr>
            <w:tcW w:w="80" w:type="dxa"/>
            <w:vAlign w:val="bottom"/>
            <w:shd w:val="clear" w:color="auto" w:fill="CCFFFF"/>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78,494</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14,811</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198"/>
        </w:trPr>
        <w:tc>
          <w:tcPr>
            <w:tcW w:w="27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Equity in earnings of affiliates</w:t>
            </w:r>
          </w:p>
        </w:tc>
        <w:tc>
          <w:tcPr>
            <w:tcW w:w="10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426</w:t>
            </w:r>
          </w:p>
        </w:tc>
        <w:tc>
          <w:tcPr>
            <w:tcW w:w="10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524</w:t>
            </w:r>
          </w:p>
        </w:tc>
        <w:tc>
          <w:tcPr>
            <w:tcW w:w="10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561</w:t>
            </w:r>
          </w:p>
        </w:tc>
        <w:tc>
          <w:tcPr>
            <w:tcW w:w="11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FFFF"/>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2,081</w:t>
            </w:r>
          </w:p>
        </w:tc>
        <w:tc>
          <w:tcPr>
            <w:tcW w:w="160" w:type="dxa"/>
            <w:vAlign w:val="bottom"/>
          </w:tcPr>
          <w:p>
            <w:pPr>
              <w:spacing w:after="0"/>
              <w:rPr>
                <w:sz w:val="17"/>
                <w:szCs w:val="17"/>
                <w:color w:val="auto"/>
              </w:rPr>
            </w:pPr>
          </w:p>
        </w:tc>
        <w:tc>
          <w:tcPr>
            <w:tcW w:w="2380" w:type="dxa"/>
            <w:vAlign w:val="bottom"/>
            <w:gridSpan w:val="2"/>
          </w:tcPr>
          <w:p>
            <w:pPr>
              <w:jc w:val="right"/>
              <w:ind w:right="1410"/>
              <w:spacing w:after="0" w:line="198" w:lineRule="exact"/>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499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dispositions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817</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262</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286</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FFFF"/>
          </w:tcPr>
          <w:p>
            <w:pPr>
              <w:spacing w:after="0"/>
              <w:rPr>
                <w:sz w:val="20"/>
                <w:szCs w:val="20"/>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20"/>
                <w:szCs w:val="20"/>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00" w:type="dxa"/>
            <w:vAlign w:val="bottom"/>
            <w:tcBorders>
              <w:top w:val="single" w:sz="8" w:color="auto"/>
            </w:tcBorders>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Total Revenues and Other</w:t>
            </w:r>
          </w:p>
        </w:tc>
        <w:tc>
          <w:tcPr>
            <w:tcW w:w="10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CFFFF"/>
            </w:tcBorders>
            <w:shd w:val="clear" w:color="auto" w:fill="CCFFFF"/>
          </w:tcPr>
          <w:p>
            <w:pPr>
              <w:spacing w:after="0"/>
              <w:rPr>
                <w:sz w:val="16"/>
                <w:szCs w:val="16"/>
                <w:color w:val="auto"/>
              </w:rPr>
            </w:pPr>
          </w:p>
        </w:tc>
        <w:tc>
          <w:tcPr>
            <w:tcW w:w="740" w:type="dxa"/>
            <w:vAlign w:val="bottom"/>
            <w:tcBorders>
              <w:top w:val="single" w:sz="8" w:color="auto"/>
            </w:tcBorders>
            <w:shd w:val="clear" w:color="auto" w:fill="CCFFFF"/>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shd w:val="clear" w:color="auto" w:fill="CCFFFF"/>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19,291</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21,989</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21,614</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19,262</w:t>
            </w:r>
          </w:p>
        </w:tc>
        <w:tc>
          <w:tcPr>
            <w:tcW w:w="80" w:type="dxa"/>
            <w:vAlign w:val="bottom"/>
            <w:shd w:val="clear" w:color="auto" w:fill="CCFFFF"/>
          </w:tcPr>
          <w:p>
            <w:pPr>
              <w:spacing w:after="0"/>
              <w:rPr>
                <w:sz w:val="21"/>
                <w:szCs w:val="21"/>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82,156</w:t>
            </w:r>
          </w:p>
        </w:tc>
        <w:tc>
          <w:tcPr>
            <w:tcW w:w="160" w:type="dxa"/>
            <w:vAlign w:val="bottom"/>
          </w:tcPr>
          <w:p>
            <w:pPr>
              <w:spacing w:after="0"/>
              <w:rPr>
                <w:sz w:val="21"/>
                <w:szCs w:val="21"/>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tcPr>
          <w:p>
            <w:pPr>
              <w:spacing w:after="0"/>
              <w:rPr>
                <w:sz w:val="21"/>
                <w:szCs w:val="21"/>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c>
          <w:tcPr>
            <w:tcW w:w="740" w:type="dxa"/>
            <w:vAlign w:val="bottom"/>
            <w:tcBorders>
              <w:top w:val="single" w:sz="8" w:color="auto"/>
            </w:tcBorders>
            <w:shd w:val="clear" w:color="auto" w:fill="CCFFFF"/>
          </w:tcPr>
          <w:p>
            <w:pPr>
              <w:spacing w:after="0"/>
              <w:rPr>
                <w:sz w:val="18"/>
                <w:szCs w:val="18"/>
                <w:color w:val="auto"/>
              </w:rPr>
            </w:pPr>
          </w:p>
        </w:tc>
        <w:tc>
          <w:tcPr>
            <w:tcW w:w="160" w:type="dxa"/>
            <w:vAlign w:val="bottom"/>
            <w:tcBorders>
              <w:top w:val="single" w:sz="8" w:color="auto"/>
            </w:tcBorders>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shd w:val="clear" w:color="auto" w:fill="CCFFFF"/>
          </w:tcPr>
          <w:p>
            <w:pPr>
              <w:spacing w:after="0"/>
              <w:rPr>
                <w:sz w:val="18"/>
                <w:szCs w:val="18"/>
                <w:color w:val="auto"/>
              </w:rPr>
            </w:pPr>
          </w:p>
        </w:tc>
        <w:tc>
          <w:tcPr>
            <w:tcW w:w="740" w:type="dxa"/>
            <w:vAlign w:val="bottom"/>
            <w:tcBorders>
              <w:top w:val="single" w:sz="8" w:color="auto"/>
            </w:tcBorders>
            <w:shd w:val="clear" w:color="auto" w:fill="CCFFFF"/>
          </w:tcPr>
          <w:p>
            <w:pPr>
              <w:spacing w:after="0"/>
              <w:rPr>
                <w:sz w:val="18"/>
                <w:szCs w:val="18"/>
                <w:color w:val="auto"/>
              </w:rPr>
            </w:pPr>
          </w:p>
        </w:tc>
        <w:tc>
          <w:tcPr>
            <w:tcW w:w="160" w:type="dxa"/>
            <w:vAlign w:val="bottom"/>
            <w:tcBorders>
              <w:top w:val="single" w:sz="8" w:color="auto"/>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Purchased commodities</w:t>
            </w:r>
          </w:p>
        </w:tc>
        <w:tc>
          <w:tcPr>
            <w:tcW w:w="10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6,751</w:t>
            </w:r>
          </w:p>
        </w:tc>
        <w:tc>
          <w:tcPr>
            <w:tcW w:w="10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9,234</w:t>
            </w:r>
          </w:p>
        </w:tc>
        <w:tc>
          <w:tcPr>
            <w:tcW w:w="10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9,251</w:t>
            </w:r>
          </w:p>
        </w:tc>
        <w:tc>
          <w:tcPr>
            <w:tcW w:w="11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8,735</w:t>
            </w:r>
          </w:p>
        </w:tc>
        <w:tc>
          <w:tcPr>
            <w:tcW w:w="80" w:type="dxa"/>
            <w:vAlign w:val="bottom"/>
            <w:shd w:val="clear" w:color="auto" w:fill="CCFFFF"/>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33,971</w:t>
            </w:r>
          </w:p>
        </w:tc>
        <w:tc>
          <w:tcPr>
            <w:tcW w:w="160" w:type="dxa"/>
            <w:vAlign w:val="bottom"/>
            <w:shd w:val="clear" w:color="auto" w:fill="CCFFFF"/>
          </w:tcPr>
          <w:p>
            <w:pPr>
              <w:spacing w:after="0"/>
              <w:rPr>
                <w:sz w:val="17"/>
                <w:szCs w:val="17"/>
                <w:color w:val="auto"/>
              </w:rPr>
            </w:pPr>
          </w:p>
        </w:tc>
        <w:tc>
          <w:tcPr>
            <w:tcW w:w="2380" w:type="dxa"/>
            <w:vAlign w:val="bottom"/>
            <w:gridSpan w:val="2"/>
          </w:tcPr>
          <w:p>
            <w:pPr>
              <w:jc w:val="right"/>
              <w:ind w:right="1410"/>
              <w:spacing w:after="0" w:line="198" w:lineRule="exact"/>
              <w:rPr>
                <w:sz w:val="20"/>
                <w:szCs w:val="20"/>
                <w:color w:val="auto"/>
              </w:rPr>
            </w:pPr>
            <w:r>
              <w:rPr>
                <w:rFonts w:ascii="Times New Roman" w:cs="Times New Roman" w:eastAsia="Times New Roman" w:hAnsi="Times New Roman"/>
                <w:sz w:val="18"/>
                <w:szCs w:val="18"/>
                <w:color w:val="auto"/>
              </w:rPr>
              <w:t>6,138</w:t>
            </w:r>
          </w:p>
        </w:tc>
        <w:tc>
          <w:tcPr>
            <w:tcW w:w="80" w:type="dxa"/>
            <w:vAlign w:val="bottom"/>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6,138</w:t>
            </w:r>
          </w:p>
        </w:tc>
        <w:tc>
          <w:tcPr>
            <w:tcW w:w="16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Production and operating expenses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1,581</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1,741</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1,799</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187</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expenses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depletion and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1,823</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1,872</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814</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843</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Accretion on discounted liabilities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217</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transactions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(gain) loss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FFFF"/>
          </w:tcPr>
          <w:p>
            <w:pPr>
              <w:spacing w:after="0"/>
              <w:rPr>
                <w:sz w:val="18"/>
                <w:szCs w:val="18"/>
                <w:color w:val="auto"/>
              </w:rPr>
            </w:pPr>
          </w:p>
        </w:tc>
        <w:tc>
          <w:tcPr>
            <w:tcW w:w="238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FFFF"/>
          </w:tcPr>
          <w:p>
            <w:pPr>
              <w:spacing w:after="0"/>
              <w:rPr>
                <w:sz w:val="20"/>
                <w:szCs w:val="20"/>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FFFF"/>
          </w:tcPr>
          <w:p>
            <w:pPr>
              <w:spacing w:after="0"/>
              <w:rPr>
                <w:sz w:val="20"/>
                <w:szCs w:val="20"/>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11,393</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14,334</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14,174</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14,027</w:t>
            </w:r>
          </w:p>
        </w:tc>
        <w:tc>
          <w:tcPr>
            <w:tcW w:w="80" w:type="dxa"/>
            <w:vAlign w:val="bottom"/>
            <w:tcBorders>
              <w:top w:val="single" w:sz="8" w:color="CCFFFF"/>
              <w:bottom w:val="single" w:sz="8" w:color="CCFFFF"/>
            </w:tcBorders>
            <w:shd w:val="clear" w:color="auto" w:fill="CCFFFF"/>
          </w:tcPr>
          <w:p>
            <w:pPr>
              <w:spacing w:after="0"/>
              <w:rPr>
                <w:sz w:val="19"/>
                <w:szCs w:val="19"/>
                <w:color w:val="auto"/>
              </w:rPr>
            </w:pPr>
          </w:p>
        </w:tc>
        <w:tc>
          <w:tcPr>
            <w:tcW w:w="7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160" w:type="dxa"/>
            <w:vAlign w:val="bottom"/>
            <w:tcBorders>
              <w:top w:val="single" w:sz="8" w:color="auto"/>
              <w:bottom w:val="single" w:sz="8" w:color="auto"/>
            </w:tcBorders>
            <w:shd w:val="clear" w:color="auto" w:fill="CCFFFF"/>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10,955</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60" w:type="dxa"/>
            <w:vAlign w:val="bottom"/>
            <w:tcBorders>
              <w:top w:val="single" w:sz="8" w:color="auto"/>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7,898</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7,655</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7,440</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5,235</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28,228</w:t>
            </w:r>
          </w:p>
        </w:tc>
        <w:tc>
          <w:tcPr>
            <w:tcW w:w="160" w:type="dxa"/>
            <w:vAlign w:val="bottom"/>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4,562</w:t>
            </w: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2,139</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2,913</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shd w:val="clear" w:color="auto" w:fill="CCFFFF"/>
          </w:tcPr>
          <w:p>
            <w:pPr>
              <w:spacing w:after="0"/>
              <w:rPr>
                <w:sz w:val="19"/>
                <w:szCs w:val="19"/>
                <w:color w:val="auto"/>
              </w:rPr>
            </w:pPr>
          </w:p>
        </w:tc>
        <w:tc>
          <w:tcPr>
            <w:tcW w:w="900" w:type="dxa"/>
            <w:vAlign w:val="bottom"/>
            <w:gridSpan w:val="2"/>
            <w:shd w:val="clear" w:color="auto" w:fill="CCFFFF"/>
          </w:tcPr>
          <w:p>
            <w:pPr>
              <w:jc w:val="right"/>
              <w:ind w:right="160"/>
              <w:spacing w:after="0"/>
              <w:rPr>
                <w:sz w:val="20"/>
                <w:szCs w:val="20"/>
                <w:color w:val="auto"/>
              </w:rPr>
            </w:pPr>
            <w:r>
              <w:rPr>
                <w:rFonts w:ascii="Times New Roman" w:cs="Times New Roman" w:eastAsia="Times New Roman" w:hAnsi="Times New Roman"/>
                <w:sz w:val="18"/>
                <w:szCs w:val="18"/>
                <w:color w:val="auto"/>
              </w:rPr>
              <w:t>9,548</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tcPr>
          <w:p>
            <w:pPr>
              <w:spacing w:after="0"/>
              <w:rPr>
                <w:sz w:val="19"/>
                <w:szCs w:val="19"/>
                <w:color w:val="auto"/>
              </w:rPr>
            </w:pPr>
          </w:p>
        </w:tc>
        <w:tc>
          <w:tcPr>
            <w:tcW w:w="900" w:type="dxa"/>
            <w:vAlign w:val="bottom"/>
            <w:gridSpan w:val="2"/>
            <w:shd w:val="clear" w:color="auto" w:fill="CCFFFF"/>
          </w:tcPr>
          <w:p>
            <w:pPr>
              <w:jc w:val="right"/>
              <w:ind w:right="16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57"/>
        </w:trPr>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5,759</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5,145</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4,527</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Borders>
              <w:top w:val="single" w:sz="8" w:color="CCFFFF"/>
              <w:bottom w:val="single" w:sz="8" w:color="CCFFFF"/>
            </w:tcBorders>
            <w:shd w:val="clear" w:color="auto" w:fill="CCFFFF"/>
          </w:tcPr>
          <w:p>
            <w:pPr>
              <w:spacing w:after="0"/>
              <w:rPr>
                <w:sz w:val="22"/>
                <w:szCs w:val="22"/>
                <w:color w:val="auto"/>
              </w:rPr>
            </w:pPr>
          </w:p>
        </w:tc>
        <w:tc>
          <w:tcPr>
            <w:tcW w:w="900" w:type="dxa"/>
            <w:vAlign w:val="bottom"/>
            <w:tcBorders>
              <w:top w:val="single" w:sz="8" w:color="auto"/>
              <w:bottom w:val="single" w:sz="8" w:color="auto"/>
            </w:tcBorders>
            <w:gridSpan w:val="2"/>
            <w:shd w:val="clear" w:color="auto" w:fill="CCFFFF"/>
          </w:tcPr>
          <w:p>
            <w:pPr>
              <w:jc w:val="right"/>
              <w:ind w:right="160"/>
              <w:spacing w:after="0"/>
              <w:rPr>
                <w:sz w:val="20"/>
                <w:szCs w:val="20"/>
                <w:color w:val="auto"/>
              </w:rPr>
            </w:pPr>
            <w:r>
              <w:rPr>
                <w:rFonts w:ascii="Times New Roman" w:cs="Times New Roman" w:eastAsia="Times New Roman" w:hAnsi="Times New Roman"/>
                <w:sz w:val="18"/>
                <w:szCs w:val="18"/>
                <w:color w:val="auto"/>
              </w:rPr>
              <w:t>18,680</w:t>
            </w:r>
          </w:p>
        </w:tc>
        <w:tc>
          <w:tcPr>
            <w:tcW w:w="80" w:type="dxa"/>
            <w:vAlign w:val="bottom"/>
          </w:tcPr>
          <w:p>
            <w:pPr>
              <w:spacing w:after="0"/>
              <w:rPr>
                <w:sz w:val="22"/>
                <w:szCs w:val="22"/>
                <w:color w:val="auto"/>
              </w:rPr>
            </w:pPr>
          </w:p>
        </w:tc>
        <w:tc>
          <w:tcPr>
            <w:tcW w:w="230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shd w:val="clear" w:color="auto" w:fill="CCFFFF"/>
          </w:tcPr>
          <w:p>
            <w:pPr>
              <w:jc w:val="right"/>
              <w:ind w:right="160"/>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10"/>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of</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7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shd w:val="clear" w:color="auto" w:fill="CCFFFF"/>
          </w:tcPr>
          <w:p>
            <w:pPr>
              <w:spacing w:after="0"/>
              <w:rPr>
                <w:sz w:val="16"/>
                <w:szCs w:val="16"/>
                <w:color w:val="auto"/>
              </w:rPr>
            </w:pPr>
          </w:p>
        </w:tc>
        <w:tc>
          <w:tcPr>
            <w:tcW w:w="740" w:type="dxa"/>
            <w:vAlign w:val="bottom"/>
            <w:shd w:val="clear" w:color="auto" w:fill="CCFFFF"/>
          </w:tcPr>
          <w:p>
            <w:pPr>
              <w:spacing w:after="0"/>
              <w:rPr>
                <w:sz w:val="16"/>
                <w:szCs w:val="16"/>
                <w:color w:val="auto"/>
              </w:rPr>
            </w:pPr>
          </w:p>
        </w:tc>
        <w:tc>
          <w:tcPr>
            <w:tcW w:w="160" w:type="dxa"/>
            <w:vAlign w:val="bottom"/>
            <w:shd w:val="clear" w:color="auto" w:fill="CCFFFF"/>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shd w:val="clear" w:color="auto" w:fill="CCFFFF"/>
          </w:tcPr>
          <w:p>
            <w:pPr>
              <w:spacing w:after="0"/>
              <w:rPr>
                <w:sz w:val="16"/>
                <w:szCs w:val="16"/>
                <w:color w:val="auto"/>
              </w:rPr>
            </w:pPr>
          </w:p>
        </w:tc>
        <w:tc>
          <w:tcPr>
            <w:tcW w:w="160" w:type="dxa"/>
            <w:vAlign w:val="bottom"/>
            <w:shd w:val="clear" w:color="auto" w:fill="CCFF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(dollars)</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shd w:val="clear" w:color="auto" w:fill="CCFFFF"/>
          </w:tcPr>
          <w:p>
            <w:pPr>
              <w:spacing w:after="0"/>
              <w:rPr>
                <w:sz w:val="20"/>
                <w:szCs w:val="20"/>
                <w:color w:val="auto"/>
              </w:rPr>
            </w:pPr>
          </w:p>
        </w:tc>
        <w:tc>
          <w:tcPr>
            <w:tcW w:w="74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4.41</w:t>
            </w:r>
          </w:p>
        </w:tc>
        <w:tc>
          <w:tcPr>
            <w:tcW w:w="10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3.98</w:t>
            </w:r>
          </w:p>
        </w:tc>
        <w:tc>
          <w:tcPr>
            <w:tcW w:w="10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3.56</w:t>
            </w:r>
          </w:p>
        </w:tc>
        <w:tc>
          <w:tcPr>
            <w:tcW w:w="11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FFFF"/>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14.62</w:t>
            </w:r>
          </w:p>
        </w:tc>
        <w:tc>
          <w:tcPr>
            <w:tcW w:w="160" w:type="dxa"/>
            <w:vAlign w:val="bottom"/>
            <w:shd w:val="clear" w:color="auto" w:fill="CCFFFF"/>
          </w:tcPr>
          <w:p>
            <w:pPr>
              <w:spacing w:after="0"/>
              <w:rPr>
                <w:sz w:val="17"/>
                <w:szCs w:val="17"/>
                <w:color w:val="auto"/>
              </w:rPr>
            </w:pPr>
          </w:p>
        </w:tc>
        <w:tc>
          <w:tcPr>
            <w:tcW w:w="2380" w:type="dxa"/>
            <w:vAlign w:val="bottom"/>
            <w:gridSpan w:val="2"/>
          </w:tcPr>
          <w:p>
            <w:pPr>
              <w:jc w:val="right"/>
              <w:ind w:right="1410"/>
              <w:spacing w:after="0" w:line="198" w:lineRule="exact"/>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4.39</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3.96</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FFFF"/>
          </w:tcPr>
          <w:p>
            <w:pPr>
              <w:spacing w:after="0"/>
              <w:rPr>
                <w:sz w:val="20"/>
                <w:szCs w:val="20"/>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60" w:type="dxa"/>
            <w:vAlign w:val="bottom"/>
            <w:shd w:val="clear" w:color="auto" w:fill="CCFFFF"/>
          </w:tcPr>
          <w:p>
            <w:pPr>
              <w:spacing w:after="0"/>
              <w:rPr>
                <w:sz w:val="20"/>
                <w:szCs w:val="20"/>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74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Common Shares</w:t>
            </w:r>
          </w:p>
        </w:tc>
        <w:tc>
          <w:tcPr>
            <w:tcW w:w="10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c>
          <w:tcPr>
            <w:tcW w:w="740" w:type="dxa"/>
            <w:vAlign w:val="bottom"/>
            <w:tcBorders>
              <w:top w:val="single" w:sz="8" w:color="auto"/>
            </w:tcBorders>
            <w:shd w:val="clear" w:color="auto" w:fill="CCFFFF"/>
          </w:tcPr>
          <w:p>
            <w:pPr>
              <w:spacing w:after="0"/>
              <w:rPr>
                <w:sz w:val="18"/>
                <w:szCs w:val="18"/>
                <w:color w:val="auto"/>
              </w:rPr>
            </w:pPr>
          </w:p>
        </w:tc>
        <w:tc>
          <w:tcPr>
            <w:tcW w:w="160" w:type="dxa"/>
            <w:vAlign w:val="bottom"/>
            <w:tcBorders>
              <w:top w:val="single" w:sz="8" w:color="auto"/>
            </w:tcBorders>
            <w:shd w:val="clear" w:color="auto" w:fill="CCFFFF"/>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shd w:val="clear" w:color="auto" w:fill="CCFFFF"/>
          </w:tcPr>
          <w:p>
            <w:pPr>
              <w:spacing w:after="0"/>
              <w:rPr>
                <w:sz w:val="18"/>
                <w:szCs w:val="18"/>
                <w:color w:val="auto"/>
              </w:rPr>
            </w:pPr>
          </w:p>
        </w:tc>
        <w:tc>
          <w:tcPr>
            <w:tcW w:w="740" w:type="dxa"/>
            <w:vAlign w:val="bottom"/>
            <w:tcBorders>
              <w:top w:val="single" w:sz="8" w:color="auto"/>
            </w:tcBorders>
            <w:shd w:val="clear" w:color="auto" w:fill="CCFFFF"/>
          </w:tcPr>
          <w:p>
            <w:pPr>
              <w:spacing w:after="0"/>
              <w:rPr>
                <w:sz w:val="18"/>
                <w:szCs w:val="18"/>
                <w:color w:val="auto"/>
              </w:rPr>
            </w:pPr>
          </w:p>
        </w:tc>
        <w:tc>
          <w:tcPr>
            <w:tcW w:w="160" w:type="dxa"/>
            <w:vAlign w:val="bottom"/>
            <w:tcBorders>
              <w:top w:val="single" w:sz="8" w:color="auto"/>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shd w:val="clear" w:color="auto" w:fill="CCFFFF"/>
          </w:tcPr>
          <w:p>
            <w:pPr>
              <w:spacing w:after="0"/>
              <w:rPr>
                <w:sz w:val="16"/>
                <w:szCs w:val="16"/>
                <w:color w:val="auto"/>
              </w:rPr>
            </w:pPr>
          </w:p>
        </w:tc>
        <w:tc>
          <w:tcPr>
            <w:tcW w:w="740" w:type="dxa"/>
            <w:vAlign w:val="bottom"/>
            <w:shd w:val="clear" w:color="auto" w:fill="CCFFFF"/>
          </w:tcPr>
          <w:p>
            <w:pPr>
              <w:spacing w:after="0"/>
              <w:rPr>
                <w:sz w:val="16"/>
                <w:szCs w:val="16"/>
                <w:color w:val="auto"/>
              </w:rPr>
            </w:pPr>
          </w:p>
        </w:tc>
        <w:tc>
          <w:tcPr>
            <w:tcW w:w="160" w:type="dxa"/>
            <w:vAlign w:val="bottom"/>
            <w:shd w:val="clear" w:color="auto" w:fill="CCFFFF"/>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shd w:val="clear" w:color="auto" w:fill="CCFFFF"/>
          </w:tcPr>
          <w:p>
            <w:pPr>
              <w:spacing w:after="0"/>
              <w:rPr>
                <w:sz w:val="16"/>
                <w:szCs w:val="16"/>
                <w:color w:val="auto"/>
              </w:rPr>
            </w:pPr>
          </w:p>
        </w:tc>
        <w:tc>
          <w:tcPr>
            <w:tcW w:w="160" w:type="dxa"/>
            <w:vAlign w:val="bottom"/>
            <w:shd w:val="clear" w:color="auto" w:fill="CCFF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(in thousands)*</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shd w:val="clear" w:color="auto" w:fill="CCFFFF"/>
          </w:tcPr>
          <w:p>
            <w:pPr>
              <w:spacing w:after="0"/>
              <w:rPr>
                <w:sz w:val="20"/>
                <w:szCs w:val="20"/>
                <w:color w:val="auto"/>
              </w:rPr>
            </w:pPr>
          </w:p>
        </w:tc>
        <w:tc>
          <w:tcPr>
            <w:tcW w:w="74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1,301,930</w:t>
            </w:r>
          </w:p>
        </w:tc>
        <w:tc>
          <w:tcPr>
            <w:tcW w:w="10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1,289,791</w:t>
            </w:r>
          </w:p>
        </w:tc>
        <w:tc>
          <w:tcPr>
            <w:tcW w:w="10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1,256,893</w:t>
            </w:r>
          </w:p>
        </w:tc>
        <w:tc>
          <w:tcPr>
            <w:tcW w:w="11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1,239,277</w:t>
            </w:r>
          </w:p>
        </w:tc>
        <w:tc>
          <w:tcPr>
            <w:tcW w:w="80" w:type="dxa"/>
            <w:vAlign w:val="bottom"/>
            <w:shd w:val="clear" w:color="auto" w:fill="CCFFFF"/>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1,274,028</w:t>
            </w:r>
          </w:p>
        </w:tc>
        <w:tc>
          <w:tcPr>
            <w:tcW w:w="160" w:type="dxa"/>
            <w:vAlign w:val="bottom"/>
            <w:shd w:val="clear" w:color="auto" w:fill="CCFFFF"/>
          </w:tcPr>
          <w:p>
            <w:pPr>
              <w:spacing w:after="0"/>
              <w:rPr>
                <w:sz w:val="17"/>
                <w:szCs w:val="17"/>
                <w:color w:val="auto"/>
              </w:rPr>
            </w:pPr>
          </w:p>
        </w:tc>
        <w:tc>
          <w:tcPr>
            <w:tcW w:w="2380" w:type="dxa"/>
            <w:vAlign w:val="bottom"/>
            <w:gridSpan w:val="2"/>
          </w:tcPr>
          <w:p>
            <w:pPr>
              <w:jc w:val="right"/>
              <w:ind w:right="1410"/>
              <w:spacing w:after="0" w:line="198" w:lineRule="exact"/>
              <w:rPr>
                <w:sz w:val="20"/>
                <w:szCs w:val="20"/>
                <w:color w:val="auto"/>
              </w:rPr>
            </w:pPr>
            <w:r>
              <w:rPr>
                <w:rFonts w:ascii="Times New Roman" w:cs="Times New Roman" w:eastAsia="Times New Roman" w:hAnsi="Times New Roman"/>
                <w:sz w:val="18"/>
                <w:szCs w:val="18"/>
                <w:color w:val="auto"/>
              </w:rPr>
              <w:t>1,220,228</w:t>
            </w:r>
          </w:p>
        </w:tc>
        <w:tc>
          <w:tcPr>
            <w:tcW w:w="80" w:type="dxa"/>
            <w:vAlign w:val="bottom"/>
          </w:tcPr>
          <w:p>
            <w:pPr>
              <w:spacing w:after="0"/>
              <w:rPr>
                <w:sz w:val="17"/>
                <w:szCs w:val="17"/>
                <w:color w:val="auto"/>
              </w:rPr>
            </w:pPr>
          </w:p>
        </w:tc>
        <w:tc>
          <w:tcPr>
            <w:tcW w:w="74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1,220,228</w:t>
            </w:r>
          </w:p>
        </w:tc>
        <w:tc>
          <w:tcPr>
            <w:tcW w:w="16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1,307,404</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1,295,844</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1,269,321</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1,243,037</w:t>
            </w:r>
          </w:p>
        </w:tc>
        <w:tc>
          <w:tcPr>
            <w:tcW w:w="80" w:type="dxa"/>
            <w:vAlign w:val="bottom"/>
            <w:tcBorders>
              <w:bottom w:val="single" w:sz="8" w:color="auto"/>
            </w:tcBorders>
            <w:shd w:val="clear" w:color="auto" w:fill="CCFFFF"/>
          </w:tcPr>
          <w:p>
            <w:pPr>
              <w:spacing w:after="0"/>
              <w:rPr>
                <w:sz w:val="20"/>
                <w:szCs w:val="20"/>
                <w:color w:val="auto"/>
              </w:rPr>
            </w:pPr>
          </w:p>
        </w:tc>
        <w:tc>
          <w:tcPr>
            <w:tcW w:w="74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w w:val="99"/>
              </w:rPr>
              <w:t>1,278,163</w:t>
            </w:r>
          </w:p>
        </w:tc>
        <w:tc>
          <w:tcPr>
            <w:tcW w:w="160" w:type="dxa"/>
            <w:vAlign w:val="bottom"/>
            <w:tcBorders>
              <w:bottom w:val="single" w:sz="8" w:color="auto"/>
            </w:tcBorders>
            <w:shd w:val="clear" w:color="auto" w:fill="CCFFFF"/>
          </w:tcPr>
          <w:p>
            <w:pPr>
              <w:spacing w:after="0"/>
              <w:rPr>
                <w:sz w:val="20"/>
                <w:szCs w:val="20"/>
                <w:color w:val="auto"/>
              </w:rPr>
            </w:pP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1,223,355</w:t>
            </w:r>
          </w:p>
        </w:tc>
        <w:tc>
          <w:tcPr>
            <w:tcW w:w="80" w:type="dxa"/>
            <w:vAlign w:val="bottom"/>
          </w:tcPr>
          <w:p>
            <w:pPr>
              <w:spacing w:after="0"/>
              <w:rPr>
                <w:sz w:val="20"/>
                <w:szCs w:val="20"/>
                <w:color w:val="auto"/>
              </w:rPr>
            </w:pPr>
          </w:p>
        </w:tc>
        <w:tc>
          <w:tcPr>
            <w:tcW w:w="740" w:type="dxa"/>
            <w:vAlign w:val="bottom"/>
            <w:tcBorders>
              <w:bottom w:val="single" w:sz="8" w:color="CCFFFF"/>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w w:val="99"/>
              </w:rPr>
              <w:t>1,223,355</w:t>
            </w:r>
          </w:p>
        </w:tc>
        <w:tc>
          <w:tcPr>
            <w:tcW w:w="160" w:type="dxa"/>
            <w:vAlign w:val="bottom"/>
            <w:tcBorders>
              <w:bottom w:val="single" w:sz="8" w:color="CCFFFF"/>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*Ending Common Shares Outstanding is 1,210,059 as of March 31, 2023, compared with 1,223,856 as of December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60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INCOME (LOSS) BEFORE</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shd w:val="clear" w:color="auto" w:fill="CCFFFF"/>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shd w:val="clear" w:color="auto" w:fill="CCFFFF"/>
          </w:tcPr>
          <w:p>
            <w:pPr>
              <w:spacing w:after="0"/>
              <w:rPr>
                <w:sz w:val="24"/>
                <w:szCs w:val="24"/>
                <w:color w:val="auto"/>
              </w:rPr>
            </w:pP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INCOME TAXES</w:t>
            </w: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shd w:val="clear" w:color="auto" w:fill="CCFFFF"/>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shd w:val="clear" w:color="auto" w:fill="CCFFFF"/>
          </w:tcPr>
          <w:p>
            <w:pPr>
              <w:spacing w:after="0"/>
              <w:rPr>
                <w:sz w:val="20"/>
                <w:szCs w:val="20"/>
                <w:color w:val="auto"/>
              </w:rPr>
            </w:pP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802</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983</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800</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652</w:t>
            </w:r>
          </w:p>
        </w:tc>
        <w:tc>
          <w:tcPr>
            <w:tcW w:w="98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3,237</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4"/>
                <w:szCs w:val="24"/>
                <w:color w:val="auto"/>
              </w:rPr>
            </w:pPr>
          </w:p>
        </w:tc>
        <w:tc>
          <w:tcPr>
            <w:tcW w:w="90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567</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Lower 48</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3,547</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4,456</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3,542</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2,557</w:t>
            </w:r>
          </w:p>
        </w:tc>
        <w:tc>
          <w:tcPr>
            <w:tcW w:w="98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14,102</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Pr>
          <w:p>
            <w:pPr>
              <w:spacing w:after="0"/>
              <w:rPr>
                <w:sz w:val="24"/>
                <w:szCs w:val="24"/>
                <w:color w:val="auto"/>
              </w:rPr>
            </w:pPr>
          </w:p>
        </w:tc>
        <w:tc>
          <w:tcPr>
            <w:tcW w:w="90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2,378</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381</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418</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158</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920</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90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North</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shd w:val="clear" w:color="auto" w:fill="CCFFFF"/>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shd w:val="clear" w:color="auto" w:fill="CCFFFF"/>
          </w:tcPr>
          <w:p>
            <w:pPr>
              <w:spacing w:after="0"/>
              <w:rPr>
                <w:sz w:val="24"/>
                <w:szCs w:val="24"/>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Africa</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1,774</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1,533</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2,615</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1,767</w:t>
            </w:r>
          </w:p>
        </w:tc>
        <w:tc>
          <w:tcPr>
            <w:tcW w:w="98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7,689</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20"/>
                <w:szCs w:val="20"/>
                <w:color w:val="auto"/>
              </w:rPr>
            </w:pPr>
          </w:p>
        </w:tc>
        <w:tc>
          <w:tcPr>
            <w:tcW w:w="90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1,244</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1,310</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637</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627</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643</w:t>
            </w:r>
          </w:p>
        </w:tc>
        <w:tc>
          <w:tcPr>
            <w:tcW w:w="98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3,217</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4"/>
                <w:szCs w:val="24"/>
                <w:color w:val="auto"/>
              </w:rPr>
            </w:pPr>
          </w:p>
        </w:tc>
        <w:tc>
          <w:tcPr>
            <w:tcW w:w="90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582</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3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0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(372)</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(304)</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c>
          <w:tcPr>
            <w:tcW w:w="98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(939)</w:t>
            </w:r>
          </w:p>
        </w:tc>
        <w:tc>
          <w:tcPr>
            <w:tcW w:w="238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4"/>
                <w:szCs w:val="24"/>
                <w:color w:val="auto"/>
              </w:rPr>
            </w:pPr>
          </w:p>
        </w:tc>
        <w:tc>
          <w:tcPr>
            <w:tcW w:w="90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shd w:val="clear" w:color="auto" w:fill="CCFFFF"/>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shd w:val="clear" w:color="auto" w:fill="CCFFFF"/>
          </w:tcPr>
          <w:p>
            <w:pPr>
              <w:spacing w:after="0"/>
              <w:rPr>
                <w:sz w:val="19"/>
                <w:szCs w:val="19"/>
                <w:color w:val="auto"/>
              </w:rPr>
            </w:pPr>
          </w:p>
        </w:tc>
      </w:tr>
      <w:tr>
        <w:trPr>
          <w:trHeight w:val="256"/>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7,898</w:t>
            </w: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7,655</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7,440</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5,235</w:t>
            </w:r>
          </w:p>
        </w:tc>
        <w:tc>
          <w:tcPr>
            <w:tcW w:w="980" w:type="dxa"/>
            <w:vAlign w:val="bottom"/>
            <w:tcBorders>
              <w:bottom w:val="single" w:sz="8" w:color="auto"/>
            </w:tcBorders>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28,228</w:t>
            </w:r>
          </w:p>
        </w:tc>
        <w:tc>
          <w:tcPr>
            <w:tcW w:w="80" w:type="dxa"/>
            <w:vAlign w:val="bottom"/>
          </w:tcPr>
          <w:p>
            <w:pPr>
              <w:spacing w:after="0"/>
              <w:rPr>
                <w:sz w:val="22"/>
                <w:szCs w:val="22"/>
                <w:color w:val="auto"/>
              </w:rPr>
            </w:pPr>
          </w:p>
        </w:tc>
        <w:tc>
          <w:tcPr>
            <w:tcW w:w="23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4,562</w:t>
            </w:r>
          </w:p>
        </w:tc>
        <w:tc>
          <w:tcPr>
            <w:tcW w:w="80" w:type="dxa"/>
            <w:vAlign w:val="bottom"/>
            <w:tcBorders>
              <w:bottom w:val="single" w:sz="8" w:color="CCFFFF"/>
            </w:tcBorders>
          </w:tcPr>
          <w:p>
            <w:pPr>
              <w:spacing w:after="0"/>
              <w:rPr>
                <w:sz w:val="22"/>
                <w:szCs w:val="22"/>
                <w:color w:val="auto"/>
              </w:rPr>
            </w:pPr>
          </w:p>
        </w:tc>
        <w:tc>
          <w:tcPr>
            <w:tcW w:w="900" w:type="dxa"/>
            <w:vAlign w:val="bottom"/>
            <w:tcBorders>
              <w:bottom w:val="single" w:sz="8" w:color="CCFFFF"/>
            </w:tcBorders>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4,562</w:t>
            </w:r>
          </w:p>
        </w:tc>
      </w:tr>
      <w:tr>
        <w:trPr>
          <w:trHeight w:val="232"/>
        </w:trPr>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shd w:val="clear" w:color="auto" w:fill="CCFFFF"/>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shd w:val="clear" w:color="auto" w:fill="CCFFFF"/>
          </w:tcPr>
          <w:p>
            <w:pPr>
              <w:spacing w:after="0"/>
              <w:rPr>
                <w:sz w:val="20"/>
                <w:szCs w:val="20"/>
                <w:color w:val="auto"/>
              </w:rPr>
            </w:pPr>
          </w:p>
        </w:tc>
        <w:tc>
          <w:tcPr>
            <w:tcW w:w="900" w:type="dxa"/>
            <w:vAlign w:val="bottom"/>
            <w:shd w:val="clear" w:color="auto" w:fill="CCFFFF"/>
          </w:tcPr>
          <w:p>
            <w:pPr>
              <w:spacing w:after="0"/>
              <w:rPr>
                <w:sz w:val="20"/>
                <w:szCs w:val="20"/>
                <w:color w:val="auto"/>
              </w:rPr>
            </w:pPr>
          </w:p>
        </w:tc>
      </w:tr>
    </w:tbl>
    <w:p>
      <w:pPr>
        <w:sectPr>
          <w:pgSz w:w="11900" w:h="16900" w:orient="portrait"/>
          <w:cols w:equalWidth="0" w:num="1">
            <w:col w:w="11240"/>
          </w:cols>
          <w:pgMar w:left="320" w:top="117"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70C0"/>
              </w:rPr>
              <w:t>EFFECTIVE INCOME TAX</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shd w:val="clear" w:color="auto" w:fill="CCFFFF"/>
          </w:tcPr>
          <w:p>
            <w:pPr>
              <w:spacing w:after="0"/>
              <w:rPr>
                <w:sz w:val="24"/>
                <w:szCs w:val="24"/>
                <w:color w:val="auto"/>
              </w:rPr>
            </w:pPr>
          </w:p>
        </w:tc>
        <w:tc>
          <w:tcPr>
            <w:tcW w:w="9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shd w:val="clear" w:color="auto" w:fill="CCFFFF"/>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RATES</w:t>
            </w: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shd w:val="clear" w:color="auto" w:fill="CCFFFF"/>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27.1%</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Lower 48</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North</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shd w:val="clear" w:color="auto" w:fill="CCFFFF"/>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Africa</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74.9%</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FFFF"/>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-137.8%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2484.7%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-546.2%</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shd w:val="clear" w:color="auto" w:fill="CCFFFF"/>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27.1%</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auto"/>
            </w:tcBorders>
            <w:shd w:val="clear" w:color="auto" w:fill="CCFFFF"/>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89"/>
        </w:trPr>
        <w:tc>
          <w:tcPr>
            <w:tcW w:w="278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*Alaska including taxes other than</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shd w:val="clear" w:color="auto" w:fill="CCFFFF"/>
          </w:tcPr>
          <w:p>
            <w:pPr>
              <w:spacing w:after="0"/>
              <w:rPr>
                <w:sz w:val="16"/>
                <w:szCs w:val="16"/>
                <w:color w:val="auto"/>
              </w:rPr>
            </w:pPr>
          </w:p>
        </w:tc>
        <w:tc>
          <w:tcPr>
            <w:tcW w:w="900" w:type="dxa"/>
            <w:vAlign w:val="bottom"/>
            <w:shd w:val="clear" w:color="auto" w:fill="CCFF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47.8%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52.1%</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48.6%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43.0%</w:t>
            </w:r>
          </w:p>
        </w:tc>
        <w:tc>
          <w:tcPr>
            <w:tcW w:w="980" w:type="dxa"/>
            <w:vAlign w:val="bottom"/>
            <w:gridSpan w:val="2"/>
            <w:shd w:val="clear" w:color="auto" w:fill="CCFFFF"/>
          </w:tcPr>
          <w:p>
            <w:pPr>
              <w:jc w:val="right"/>
              <w:spacing w:after="0"/>
              <w:rPr>
                <w:sz w:val="20"/>
                <w:szCs w:val="20"/>
                <w:color w:val="auto"/>
              </w:rPr>
            </w:pPr>
            <w:r>
              <w:rPr>
                <w:rFonts w:ascii="Times New Roman" w:cs="Times New Roman" w:eastAsia="Times New Roman" w:hAnsi="Times New Roman"/>
                <w:sz w:val="18"/>
                <w:szCs w:val="18"/>
                <w:i w:val="1"/>
                <w:iCs w:val="1"/>
                <w:color w:val="auto"/>
              </w:rPr>
              <w:t>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-3205480</wp:posOffset>
            </wp:positionV>
            <wp:extent cx="565785" cy="2931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 cy="29317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2"/>
        </w:trPr>
        <w:tc>
          <w:tcPr>
            <w:tcW w:w="2300" w:type="dxa"/>
            <w:vAlign w:val="bottom"/>
          </w:tcPr>
          <w:p>
            <w:pPr>
              <w:spacing w:after="0"/>
              <w:rPr>
                <w:sz w:val="24"/>
                <w:szCs w:val="24"/>
                <w:color w:val="auto"/>
              </w:rPr>
            </w:pPr>
          </w:p>
        </w:tc>
        <w:tc>
          <w:tcPr>
            <w:tcW w:w="80" w:type="dxa"/>
            <w:vAlign w:val="bottom"/>
            <w:shd w:val="clear" w:color="auto" w:fill="CCFFFF"/>
          </w:tcPr>
          <w:p>
            <w:pPr>
              <w:spacing w:after="0"/>
              <w:rPr>
                <w:sz w:val="24"/>
                <w:szCs w:val="24"/>
                <w:color w:val="auto"/>
              </w:rPr>
            </w:pPr>
          </w:p>
        </w:tc>
        <w:tc>
          <w:tcPr>
            <w:tcW w:w="900" w:type="dxa"/>
            <w:vAlign w:val="bottom"/>
            <w:shd w:val="clear" w:color="auto" w:fill="CCFFFF"/>
          </w:tcPr>
          <w:p>
            <w:pPr>
              <w:spacing w:after="0"/>
              <w:rPr>
                <w:sz w:val="24"/>
                <w:szCs w:val="24"/>
                <w:color w:val="auto"/>
              </w:rPr>
            </w:pPr>
          </w:p>
        </w:tc>
      </w:tr>
      <w:tr>
        <w:trPr>
          <w:trHeight w:val="1080"/>
        </w:trPr>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432"/>
        </w:trPr>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432"/>
        </w:trPr>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648"/>
        </w:trPr>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432"/>
        </w:trPr>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23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FF"/>
          </w:tcPr>
          <w:p>
            <w:pPr>
              <w:spacing w:after="0"/>
              <w:rPr>
                <w:sz w:val="24"/>
                <w:szCs w:val="24"/>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FFFF"/>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2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shd w:val="clear" w:color="auto" w:fill="CCFFFF"/>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56"/>
        </w:trPr>
        <w:tc>
          <w:tcPr>
            <w:tcW w:w="230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auto"/>
            </w:tcBorders>
            <w:shd w:val="clear" w:color="auto" w:fill="CCFFFF"/>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426"/>
        </w:trPr>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i w:val="1"/>
                <w:iCs w:val="1"/>
                <w:color w:val="auto"/>
              </w:rPr>
              <w:t>42.3%</w:t>
            </w:r>
          </w:p>
        </w:tc>
        <w:tc>
          <w:tcPr>
            <w:tcW w:w="980" w:type="dxa"/>
            <w:vAlign w:val="bottom"/>
            <w:gridSpan w:val="2"/>
            <w:shd w:val="clear" w:color="auto" w:fill="CCFFFF"/>
          </w:tcPr>
          <w:p>
            <w:pPr>
              <w:jc w:val="right"/>
              <w:spacing w:after="0"/>
              <w:rPr>
                <w:sz w:val="20"/>
                <w:szCs w:val="20"/>
                <w:color w:val="auto"/>
              </w:rPr>
            </w:pPr>
            <w:r>
              <w:rPr>
                <w:rFonts w:ascii="Times New Roman" w:cs="Times New Roman" w:eastAsia="Times New Roman" w:hAnsi="Times New Roman"/>
                <w:sz w:val="18"/>
                <w:szCs w:val="18"/>
                <w:i w:val="1"/>
                <w:iCs w:val="1"/>
                <w:color w:val="auto"/>
              </w:rPr>
              <w:t>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-3205480</wp:posOffset>
            </wp:positionV>
            <wp:extent cx="565785" cy="2931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2931795"/>
                    </a:xfrm>
                    <a:prstGeom prst="rect">
                      <a:avLst/>
                    </a:prstGeom>
                    <a:noFill/>
                  </pic:spPr>
                </pic:pic>
              </a:graphicData>
            </a:graphic>
          </wp:anchor>
        </w:drawing>
      </w:r>
    </w:p>
    <w:p>
      <w:pPr>
        <w:sectPr>
          <w:pgSz w:w="11900" w:h="16838" w:orient="portrait"/>
          <w:cols w:equalWidth="0" w:num="2">
            <w:col w:w="7880" w:space="80"/>
            <w:col w:w="3280"/>
          </w:cols>
          <w:pgMar w:left="320" w:top="140" w:right="339" w:bottom="1440" w:gutter="0" w:footer="0" w:header="0"/>
        </w:sectPr>
      </w:pPr>
    </w:p>
    <w:bookmarkStart w:id="11" w:name="page12"/>
    <w:bookmarkEnd w:id="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5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5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YTD</w:t>
            </w:r>
          </w:p>
        </w:tc>
        <w:tc>
          <w:tcPr>
            <w:tcW w:w="0" w:type="dxa"/>
            <w:vAlign w:val="bottom"/>
          </w:tcPr>
          <w:p>
            <w:pPr>
              <w:spacing w:after="0"/>
              <w:rPr>
                <w:sz w:val="1"/>
                <w:szCs w:val="1"/>
                <w:color w:val="auto"/>
              </w:rPr>
            </w:pPr>
          </w:p>
        </w:tc>
      </w:tr>
      <w:tr>
        <w:trPr>
          <w:trHeight w:val="201"/>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Millions</w:t>
            </w: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shd w:val="clear" w:color="auto" w:fill="CCFFFF"/>
          </w:tcPr>
          <w:p>
            <w:pPr>
              <w:spacing w:after="0"/>
              <w:rPr>
                <w:sz w:val="17"/>
                <w:szCs w:val="17"/>
                <w:color w:val="auto"/>
              </w:rPr>
            </w:pPr>
          </w:p>
        </w:tc>
        <w:tc>
          <w:tcPr>
            <w:tcW w:w="720" w:type="dxa"/>
            <w:vAlign w:val="bottom"/>
            <w:tcBorders>
              <w:bottom w:val="single" w:sz="8" w:color="auto"/>
            </w:tcBorders>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EARNINGS BY SEGMENT</w:t>
            </w: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72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584</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687</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580</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Lower 48</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2,790</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3,581</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2,653</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11,015</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291</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316</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412</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385</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922</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1,136</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520</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546</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(349)</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shd w:val="clear" w:color="auto" w:fill="CCFFFF"/>
          </w:tcPr>
          <w:p>
            <w:pPr>
              <w:spacing w:after="0"/>
              <w:rPr>
                <w:sz w:val="19"/>
                <w:szCs w:val="19"/>
                <w:color w:val="auto"/>
              </w:rPr>
            </w:pPr>
          </w:p>
        </w:tc>
        <w:tc>
          <w:tcPr>
            <w:tcW w:w="72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5,759</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5,145</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4,527</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Borders>
              <w:bottom w:val="single" w:sz="8" w:color="auto"/>
            </w:tcBorders>
            <w:shd w:val="clear" w:color="auto" w:fill="CCFFFF"/>
          </w:tcPr>
          <w:p>
            <w:pPr>
              <w:spacing w:after="0"/>
              <w:rPr>
                <w:sz w:val="22"/>
                <w:szCs w:val="22"/>
                <w:color w:val="auto"/>
              </w:rPr>
            </w:pPr>
          </w:p>
        </w:tc>
        <w:tc>
          <w:tcPr>
            <w:tcW w:w="720" w:type="dxa"/>
            <w:vAlign w:val="bottom"/>
            <w:tcBorders>
              <w:bottom w:val="single" w:sz="8" w:color="auto"/>
            </w:tcBorders>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18,680</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-273685</wp:posOffset>
            </wp:positionV>
            <wp:extent cx="522605" cy="6412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2605" cy="64122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4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SPECIAL ITEMS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shd w:val="clear" w:color="auto" w:fill="CCFFFF"/>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FFFF"/>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Lower 48</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FFFF"/>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176</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FFFF"/>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FFFF"/>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534</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FFFF"/>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FFFF"/>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721</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CFFFF"/>
          </w:tcPr>
          <w:p>
            <w:pPr>
              <w:spacing w:after="0"/>
              <w:rPr>
                <w:sz w:val="24"/>
                <w:szCs w:val="24"/>
                <w:color w:val="auto"/>
              </w:rPr>
            </w:pPr>
          </w:p>
        </w:tc>
      </w:tr>
      <w:tr>
        <w:trPr>
          <w:trHeight w:val="223"/>
        </w:trPr>
        <w:tc>
          <w:tcPr>
            <w:tcW w:w="3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r>
      <w:tr>
        <w:trPr>
          <w:trHeight w:val="25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1,470</w:t>
            </w: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60" w:type="dxa"/>
            <w:vAlign w:val="bottom"/>
            <w:tcBorders>
              <w:bottom w:val="single" w:sz="8" w:color="auto"/>
            </w:tcBorders>
            <w:shd w:val="clear" w:color="auto" w:fill="CCFFFF"/>
          </w:tcPr>
          <w:p>
            <w:pPr>
              <w:spacing w:after="0"/>
              <w:rPr>
                <w:sz w:val="22"/>
                <w:szCs w:val="22"/>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Detailed reconciliation of these items is provided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08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ADJUSTED EARNINGS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561</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687</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580</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475</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2,303</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Lower 48</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2,774</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3,512</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2,695</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1,975</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10,956</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115</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198</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514</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412</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443</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922</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525</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2,302</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602</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525</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493</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555</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2,175</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(279)</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r>
      <w:tr>
        <w:trPr>
          <w:trHeight w:val="223"/>
        </w:trPr>
        <w:tc>
          <w:tcPr>
            <w:tcW w:w="3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4,289</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5,086</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4,590</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3,375</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17,340</w:t>
            </w:r>
          </w:p>
        </w:tc>
      </w:tr>
      <w:tr>
        <w:trPr>
          <w:trHeight w:val="21"/>
        </w:trPr>
        <w:tc>
          <w:tcPr>
            <w:tcW w:w="3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77"/>
        </w:trPr>
        <w:tc>
          <w:tcPr>
            <w:tcW w:w="3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shd w:val="clear" w:color="auto" w:fill="CCFFFF"/>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0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1st Qtr</w:t>
            </w:r>
          </w:p>
        </w:tc>
        <w:tc>
          <w:tcPr>
            <w:tcW w:w="60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2nd</w:t>
            </w:r>
          </w:p>
        </w:tc>
        <w:tc>
          <w:tcPr>
            <w:tcW w:w="54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3rd</w:t>
            </w:r>
          </w:p>
        </w:tc>
        <w:tc>
          <w:tcPr>
            <w:tcW w:w="52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4th</w:t>
            </w:r>
          </w:p>
        </w:tc>
        <w:tc>
          <w:tcPr>
            <w:tcW w:w="820" w:type="dxa"/>
            <w:vAlign w:val="bottom"/>
            <w:tcBorders>
              <w:top w:val="single" w:sz="8" w:color="auto"/>
            </w:tcBorders>
            <w:gridSpan w:val="2"/>
            <w:shd w:val="clear" w:color="auto" w:fill="CCFFFF"/>
          </w:tcPr>
          <w:p>
            <w:pPr>
              <w:jc w:val="right"/>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YTD</w:t>
            </w:r>
          </w:p>
        </w:tc>
        <w:tc>
          <w:tcPr>
            <w:tcW w:w="0" w:type="dxa"/>
            <w:vAlign w:val="bottom"/>
          </w:tcPr>
          <w:p>
            <w:pPr>
              <w:spacing w:after="0"/>
              <w:rPr>
                <w:sz w:val="1"/>
                <w:szCs w:val="1"/>
                <w:color w:val="auto"/>
              </w:rPr>
            </w:pPr>
          </w:p>
        </w:tc>
      </w:tr>
      <w:tr>
        <w:trPr>
          <w:trHeight w:val="245"/>
        </w:trPr>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Qtr</w:t>
            </w:r>
          </w:p>
        </w:tc>
        <w:tc>
          <w:tcPr>
            <w:tcW w:w="660" w:type="dxa"/>
            <w:vAlign w:val="bottom"/>
            <w:tcBorders>
              <w:bottom w:val="single" w:sz="8" w:color="auto"/>
            </w:tcBorders>
            <w:shd w:val="clear" w:color="auto" w:fill="CCFFFF"/>
          </w:tcPr>
          <w:p>
            <w:pPr>
              <w:spacing w:after="0"/>
              <w:rPr>
                <w:sz w:val="21"/>
                <w:szCs w:val="21"/>
                <w:color w:val="auto"/>
              </w:rPr>
            </w:pPr>
          </w:p>
        </w:tc>
        <w:tc>
          <w:tcPr>
            <w:tcW w:w="160" w:type="dxa"/>
            <w:vAlign w:val="bottom"/>
            <w:tcBorders>
              <w:bottom w:val="single" w:sz="8" w:color="auto"/>
            </w:tcBorders>
            <w:shd w:val="clear" w:color="auto" w:fill="CC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416</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vMerge w:val="restart"/>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9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vMerge w:val="continue"/>
            <w:shd w:val="clear" w:color="auto" w:fill="CCFF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1,852</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365</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522</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2"/>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(242)</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2,920</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-2359660</wp:posOffset>
            </wp:positionV>
            <wp:extent cx="2143125" cy="2520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25203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2"/>
        </w:trPr>
        <w:tc>
          <w:tcPr>
            <w:tcW w:w="2560" w:type="dxa"/>
            <w:vAlign w:val="bottom"/>
            <w:tcBorders>
              <w:top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FFFF"/>
          </w:tcPr>
          <w:p>
            <w:pPr>
              <w:spacing w:after="0"/>
              <w:rPr>
                <w:sz w:val="24"/>
                <w:szCs w:val="24"/>
                <w:color w:val="auto"/>
              </w:rPr>
            </w:pPr>
          </w:p>
        </w:tc>
        <w:tc>
          <w:tcPr>
            <w:tcW w:w="720" w:type="dxa"/>
            <w:vAlign w:val="bottom"/>
            <w:tcBorders>
              <w:top w:val="single" w:sz="8" w:color="auto"/>
            </w:tcBorders>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shd w:val="clear" w:color="auto" w:fill="CCFFFF"/>
          </w:tcPr>
          <w:p>
            <w:pPr>
              <w:spacing w:after="0"/>
              <w:rPr>
                <w:sz w:val="19"/>
                <w:szCs w:val="19"/>
                <w:color w:val="auto"/>
              </w:rPr>
            </w:pPr>
          </w:p>
        </w:tc>
        <w:tc>
          <w:tcPr>
            <w:tcW w:w="720" w:type="dxa"/>
            <w:vAlign w:val="bottom"/>
            <w:tcBorders>
              <w:bottom w:val="single" w:sz="8" w:color="auto"/>
            </w:tcBorders>
            <w:shd w:val="clear" w:color="auto" w:fill="CCFFFF"/>
          </w:tcPr>
          <w:p>
            <w:pPr>
              <w:spacing w:after="0"/>
              <w:rPr>
                <w:sz w:val="19"/>
                <w:szCs w:val="19"/>
                <w:color w:val="auto"/>
              </w:rPr>
            </w:pPr>
          </w:p>
        </w:tc>
      </w:tr>
      <w:tr>
        <w:trPr>
          <w:trHeight w:val="256"/>
        </w:trPr>
        <w:tc>
          <w:tcPr>
            <w:tcW w:w="256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2"/>
                <w:szCs w:val="22"/>
                <w:color w:val="auto"/>
              </w:rPr>
            </w:pPr>
          </w:p>
        </w:tc>
        <w:tc>
          <w:tcPr>
            <w:tcW w:w="720" w:type="dxa"/>
            <w:vAlign w:val="bottom"/>
            <w:tcBorders>
              <w:bottom w:val="single" w:sz="8" w:color="auto"/>
            </w:tcBorders>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25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-410845</wp:posOffset>
            </wp:positionV>
            <wp:extent cx="420370" cy="3343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370" cy="3343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76"/>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416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FFFF"/>
          </w:tcPr>
          <w:p>
            <w:pPr>
              <w:spacing w:after="0"/>
              <w:rPr>
                <w:sz w:val="24"/>
                <w:szCs w:val="24"/>
                <w:color w:val="auto"/>
              </w:rPr>
            </w:pP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1,852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shd w:val="clear" w:color="auto" w:fill="CCFFFF"/>
          </w:tcPr>
          <w:p>
            <w:pPr>
              <w:spacing w:after="0"/>
              <w:rPr>
                <w:sz w:val="24"/>
                <w:szCs w:val="24"/>
                <w:color w:val="auto"/>
              </w:rPr>
            </w:pP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FFFF"/>
          </w:tcPr>
          <w:p>
            <w:pPr>
              <w:spacing w:after="0"/>
              <w:rPr>
                <w:sz w:val="24"/>
                <w:szCs w:val="24"/>
                <w:color w:val="auto"/>
              </w:rPr>
            </w:pP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365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FFFF"/>
          </w:tcPr>
          <w:p>
            <w:pPr>
              <w:spacing w:after="0"/>
              <w:rPr>
                <w:sz w:val="24"/>
                <w:szCs w:val="24"/>
                <w:color w:val="auto"/>
              </w:rPr>
            </w:pP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522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shd w:val="clear" w:color="auto" w:fill="CCFFFF"/>
          </w:tcPr>
          <w:p>
            <w:pPr>
              <w:spacing w:after="0"/>
              <w:rPr>
                <w:sz w:val="24"/>
                <w:szCs w:val="24"/>
                <w:color w:val="auto"/>
              </w:rPr>
            </w:pPr>
          </w:p>
        </w:tc>
      </w:tr>
      <w:tr>
        <w:trPr>
          <w:trHeight w:val="432"/>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FFFF"/>
          </w:tcPr>
          <w:p>
            <w:pPr>
              <w:spacing w:after="0"/>
              <w:rPr>
                <w:sz w:val="24"/>
                <w:szCs w:val="24"/>
                <w:color w:val="auto"/>
              </w:rPr>
            </w:pPr>
          </w:p>
        </w:tc>
      </w:tr>
      <w:tr>
        <w:trPr>
          <w:trHeight w:val="432"/>
        </w:trPr>
        <w:tc>
          <w:tcPr>
            <w:tcW w:w="256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FFFF"/>
          </w:tcPr>
          <w:p>
            <w:pPr>
              <w:spacing w:after="0"/>
              <w:rPr>
                <w:sz w:val="24"/>
                <w:szCs w:val="24"/>
                <w:color w:val="auto"/>
              </w:rPr>
            </w:pPr>
          </w:p>
        </w:tc>
      </w:tr>
      <w:tr>
        <w:trPr>
          <w:trHeight w:val="223"/>
        </w:trPr>
        <w:tc>
          <w:tcPr>
            <w:tcW w:w="2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shd w:val="clear" w:color="auto" w:fill="CCFFFF"/>
          </w:tcPr>
          <w:p>
            <w:pPr>
              <w:spacing w:after="0"/>
              <w:rPr>
                <w:sz w:val="19"/>
                <w:szCs w:val="19"/>
                <w:color w:val="auto"/>
              </w:rPr>
            </w:pPr>
          </w:p>
        </w:tc>
      </w:tr>
      <w:tr>
        <w:trPr>
          <w:trHeight w:val="257"/>
        </w:trPr>
        <w:tc>
          <w:tcPr>
            <w:tcW w:w="256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rPr>
              <w:t>2,920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60" w:type="dxa"/>
            <w:vAlign w:val="bottom"/>
            <w:tcBorders>
              <w:bottom w:val="single" w:sz="8" w:color="auto"/>
            </w:tcBorders>
            <w:shd w:val="clear" w:color="auto" w:fill="CCFFFF"/>
          </w:tcPr>
          <w:p>
            <w:pPr>
              <w:spacing w:after="0"/>
              <w:rPr>
                <w:sz w:val="22"/>
                <w:szCs w:val="22"/>
                <w:color w:val="auto"/>
              </w:rPr>
            </w:pPr>
          </w:p>
        </w:tc>
      </w:tr>
      <w:tr>
        <w:trPr>
          <w:trHeight w:val="1177"/>
        </w:trPr>
        <w:tc>
          <w:tcPr>
            <w:tcW w:w="2560" w:type="dxa"/>
            <w:vAlign w:val="bottom"/>
          </w:tcPr>
          <w:p>
            <w:pPr>
              <w:spacing w:after="0"/>
              <w:rPr>
                <w:sz w:val="24"/>
                <w:szCs w:val="24"/>
                <w:color w:val="auto"/>
              </w:rPr>
            </w:pPr>
          </w:p>
        </w:tc>
        <w:tc>
          <w:tcPr>
            <w:tcW w:w="660" w:type="dxa"/>
            <w:vAlign w:val="bottom"/>
            <w:shd w:val="clear" w:color="auto" w:fill="CCFFFF"/>
          </w:tcPr>
          <w:p>
            <w:pPr>
              <w:spacing w:after="0"/>
              <w:rPr>
                <w:sz w:val="24"/>
                <w:szCs w:val="24"/>
                <w:color w:val="auto"/>
              </w:rPr>
            </w:pPr>
          </w:p>
        </w:tc>
        <w:tc>
          <w:tcPr>
            <w:tcW w:w="160" w:type="dxa"/>
            <w:vAlign w:val="bottom"/>
            <w:shd w:val="clear" w:color="auto" w:fill="CCFFFF"/>
          </w:tcPr>
          <w:p>
            <w:pPr>
              <w:spacing w:after="0"/>
              <w:rPr>
                <w:sz w:val="24"/>
                <w:szCs w:val="24"/>
                <w:color w:val="auto"/>
              </w:rPr>
            </w:pPr>
          </w:p>
        </w:tc>
      </w:tr>
    </w:tbl>
    <w:p>
      <w:pPr>
        <w:sectPr>
          <w:pgSz w:w="11900" w:h="16900" w:orient="portrait"/>
          <w:cols w:equalWidth="0" w:num="2">
            <w:col w:w="7760" w:space="100"/>
            <w:col w:w="3380"/>
          </w:cols>
          <w:pgMar w:left="320" w:top="945"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0070C0"/>
        </w:rPr>
        <w:t>ADJUSTED EFFECTIVE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-116840</wp:posOffset>
            </wp:positionV>
            <wp:extent cx="522605" cy="2520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2605" cy="25203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-116840</wp:posOffset>
            </wp:positionV>
            <wp:extent cx="522605" cy="2520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2605" cy="25203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TAX RATES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shd w:val="clear" w:color="auto" w:fill="CCFFFF"/>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720" w:type="dxa"/>
            <w:vAlign w:val="bottom"/>
            <w:shd w:val="clear" w:color="auto" w:fill="CCFFFF"/>
          </w:tcPr>
          <w:p>
            <w:pPr>
              <w:spacing w:after="0"/>
              <w:rPr>
                <w:sz w:val="17"/>
                <w:szCs w:val="17"/>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27.6%</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7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26.7%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Lower 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7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22.1%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7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21.9%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76.8%</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64.7%</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7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70.6%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7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-137.8%</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16.8%</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760" w:type="dxa"/>
            <w:vAlign w:val="bottom"/>
            <w:gridSpan w:val="2"/>
          </w:tcPr>
          <w:p>
            <w:pPr>
              <w:jc w:val="right"/>
              <w:ind w:right="1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7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-11.3%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3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6"/>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36.8%</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266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36.0%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
        </w:trPr>
        <w:tc>
          <w:tcPr>
            <w:tcW w:w="3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19"/>
        </w:trPr>
        <w:tc>
          <w:tcPr>
            <w:tcW w:w="3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5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5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Millions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YTD</w:t>
            </w:r>
          </w:p>
        </w:tc>
        <w:tc>
          <w:tcPr>
            <w:tcW w:w="0" w:type="dxa"/>
            <w:vAlign w:val="bottom"/>
          </w:tcPr>
          <w:p>
            <w:pPr>
              <w:spacing w:after="0"/>
              <w:rPr>
                <w:sz w:val="1"/>
                <w:szCs w:val="1"/>
                <w:color w:val="auto"/>
              </w:rPr>
            </w:pPr>
          </w:p>
        </w:tc>
      </w:tr>
      <w:tr>
        <w:trPr>
          <w:trHeight w:val="201"/>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70C0"/>
              </w:rPr>
              <w:t>DETAILED SPECIAL ITEMS</w:t>
            </w: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4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17"/>
                <w:szCs w:val="17"/>
                <w:color w:val="auto"/>
              </w:rPr>
              <w:t>Income tax provision (benefit)</w:t>
            </w:r>
            <w:r>
              <w:rPr>
                <w:rFonts w:ascii="Times New Roman" w:cs="Times New Roman" w:eastAsia="Times New Roman" w:hAnsi="Times New Roman"/>
                <w:sz w:val="28"/>
                <w:szCs w:val="28"/>
                <w:color w:val="auto"/>
                <w:vertAlign w:val="superscript"/>
              </w:rPr>
              <w:t>1</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0" w:type="dxa"/>
            <w:vAlign w:val="bottom"/>
            <w:tcBorders>
              <w:top w:val="single" w:sz="8" w:color="auto"/>
            </w:tcBorders>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1st Qtr</w:t>
            </w:r>
          </w:p>
        </w:tc>
        <w:tc>
          <w:tcPr>
            <w:tcW w:w="62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2nd</w:t>
            </w:r>
          </w:p>
        </w:tc>
        <w:tc>
          <w:tcPr>
            <w:tcW w:w="54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3rd</w:t>
            </w:r>
          </w:p>
        </w:tc>
        <w:tc>
          <w:tcPr>
            <w:tcW w:w="54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4th</w:t>
            </w:r>
          </w:p>
        </w:tc>
        <w:tc>
          <w:tcPr>
            <w:tcW w:w="760" w:type="dxa"/>
            <w:vAlign w:val="bottom"/>
            <w:tcBorders>
              <w:top w:val="single" w:sz="8" w:color="auto"/>
            </w:tcBorders>
            <w:shd w:val="clear" w:color="auto" w:fill="CCFFFF"/>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YTD</w:t>
            </w:r>
          </w:p>
        </w:tc>
      </w:tr>
      <w:tr>
        <w:trPr>
          <w:trHeight w:val="245"/>
        </w:trPr>
        <w:tc>
          <w:tcPr>
            <w:tcW w:w="8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Qtr</w:t>
            </w:r>
          </w:p>
        </w:tc>
        <w:tc>
          <w:tcPr>
            <w:tcW w:w="760" w:type="dxa"/>
            <w:vAlign w:val="bottom"/>
            <w:tcBorders>
              <w:bottom w:val="single" w:sz="8" w:color="auto"/>
            </w:tcBorders>
            <w:shd w:val="clear" w:color="auto" w:fill="CCFFFF"/>
          </w:tcPr>
          <w:p>
            <w:pPr>
              <w:spacing w:after="0"/>
              <w:rPr>
                <w:sz w:val="21"/>
                <w:szCs w:val="21"/>
                <w:color w:val="auto"/>
              </w:rPr>
            </w:pPr>
          </w:p>
        </w:tc>
      </w:tr>
      <w:tr>
        <w:trPr>
          <w:trHeight w:val="871"/>
        </w:trPr>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2">
            <w:col w:w="7820" w:space="120"/>
            <w:col w:w="3300"/>
          </w:cols>
          <w:pgMar w:left="320" w:top="94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Lower 48</w:t>
            </w: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and restructuring expenses</w:t>
            </w:r>
          </w:p>
        </w:tc>
        <w:tc>
          <w:tcPr>
            <w:tcW w:w="112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(14)</w:t>
            </w:r>
          </w:p>
        </w:tc>
        <w:tc>
          <w:tcPr>
            <w:tcW w:w="8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(28)</w:t>
            </w:r>
          </w:p>
        </w:tc>
        <w:tc>
          <w:tcPr>
            <w:tcW w:w="2660" w:type="dxa"/>
            <w:vAlign w:val="bottom"/>
            <w:gridSpan w:val="2"/>
          </w:tcPr>
          <w:p>
            <w:pPr>
              <w:jc w:val="right"/>
              <w:ind w:right="17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asset sales</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332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Subtotal before income taxes</w:t>
            </w:r>
          </w:p>
        </w:tc>
        <w:tc>
          <w:tcPr>
            <w:tcW w:w="11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(14)</w:t>
            </w:r>
          </w:p>
        </w:tc>
        <w:tc>
          <w:tcPr>
            <w:tcW w:w="96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color w:val="auto"/>
              </w:rPr>
              <w:t>87</w:t>
            </w:r>
          </w:p>
        </w:tc>
        <w:tc>
          <w:tcPr>
            <w:tcW w:w="8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color w:val="auto"/>
              </w:rPr>
              <w:t>(55)</w:t>
            </w:r>
          </w:p>
        </w:tc>
        <w:tc>
          <w:tcPr>
            <w:tcW w:w="80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760" w:type="dxa"/>
            <w:vAlign w:val="bottom"/>
            <w:tcBorders>
              <w:top w:val="single" w:sz="8" w:color="auto"/>
            </w:tcBorders>
            <w:shd w:val="clear" w:color="auto" w:fill="CCFFFF"/>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6"/>
                <w:szCs w:val="16"/>
                <w:color w:val="auto"/>
              </w:rPr>
            </w:pPr>
          </w:p>
        </w:tc>
        <w:tc>
          <w:tcPr>
            <w:tcW w:w="2540" w:type="dxa"/>
            <w:vAlign w:val="bottom"/>
            <w:tcBorders>
              <w:top w:val="single" w:sz="8" w:color="auto"/>
            </w:tcBorders>
          </w:tcPr>
          <w:p>
            <w:pPr>
              <w:jc w:val="right"/>
              <w:ind w:right="17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FFFF"/>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51"/>
        </w:trPr>
        <w:tc>
          <w:tcPr>
            <w:tcW w:w="33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Income tax provision (benefit)</w:t>
            </w:r>
            <w:r>
              <w:rPr>
                <w:rFonts w:ascii="Times New Roman" w:cs="Times New Roman" w:eastAsia="Times New Roman" w:hAnsi="Times New Roman"/>
                <w:sz w:val="28"/>
                <w:szCs w:val="28"/>
                <w:color w:val="auto"/>
                <w:vertAlign w:val="superscript"/>
              </w:rPr>
              <w:t>2</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2"/>
                <w:szCs w:val="22"/>
                <w:color w:val="auto"/>
              </w:rPr>
            </w:pPr>
          </w:p>
        </w:tc>
        <w:tc>
          <w:tcPr>
            <w:tcW w:w="2540" w:type="dxa"/>
            <w:vAlign w:val="bottom"/>
            <w:tcBorders>
              <w:top w:val="single" w:sz="8" w:color="auto"/>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Exploration Expense</w:t>
            </w:r>
          </w:p>
        </w:tc>
        <w:tc>
          <w:tcPr>
            <w:tcW w:w="112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(129)</w:t>
            </w:r>
          </w:p>
        </w:tc>
        <w:tc>
          <w:tcPr>
            <w:tcW w:w="7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(129)</w:t>
            </w:r>
          </w:p>
        </w:tc>
        <w:tc>
          <w:tcPr>
            <w:tcW w:w="2660" w:type="dxa"/>
            <w:vAlign w:val="bottom"/>
            <w:gridSpan w:val="2"/>
          </w:tcPr>
          <w:p>
            <w:pPr>
              <w:jc w:val="right"/>
              <w:ind w:right="17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asset sales</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229</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153</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332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Subtotal before income taxes</w:t>
            </w:r>
          </w:p>
        </w:tc>
        <w:tc>
          <w:tcPr>
            <w:tcW w:w="112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229</w:t>
            </w:r>
          </w:p>
        </w:tc>
        <w:tc>
          <w:tcPr>
            <w:tcW w:w="96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color w:val="auto"/>
              </w:rPr>
              <w:t>153</w:t>
            </w:r>
          </w:p>
        </w:tc>
        <w:tc>
          <w:tcPr>
            <w:tcW w:w="8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(129)</w:t>
            </w:r>
          </w:p>
        </w:tc>
        <w:tc>
          <w:tcPr>
            <w:tcW w:w="760" w:type="dxa"/>
            <w:vAlign w:val="bottom"/>
            <w:tcBorders>
              <w:top w:val="single" w:sz="8" w:color="auto"/>
            </w:tcBorders>
            <w:shd w:val="clear" w:color="auto" w:fill="CCFFFF"/>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6"/>
                <w:szCs w:val="16"/>
                <w:color w:val="auto"/>
              </w:rPr>
            </w:pPr>
          </w:p>
        </w:tc>
        <w:tc>
          <w:tcPr>
            <w:tcW w:w="2540" w:type="dxa"/>
            <w:vAlign w:val="bottom"/>
            <w:tcBorders>
              <w:top w:val="single" w:sz="8" w:color="auto"/>
            </w:tcBorders>
          </w:tcPr>
          <w:p>
            <w:pPr>
              <w:jc w:val="right"/>
              <w:ind w:right="17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FFFF"/>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51"/>
        </w:trPr>
        <w:tc>
          <w:tcPr>
            <w:tcW w:w="33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Income tax provision (benefit)</w:t>
            </w:r>
            <w:r>
              <w:rPr>
                <w:rFonts w:ascii="Times New Roman" w:cs="Times New Roman" w:eastAsia="Times New Roman" w:hAnsi="Times New Roman"/>
                <w:sz w:val="28"/>
                <w:szCs w:val="28"/>
                <w:color w:val="auto"/>
                <w:vertAlign w:val="superscript"/>
              </w:rPr>
              <w:t>3</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176</w:t>
            </w: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118</w:t>
            </w: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2"/>
                <w:szCs w:val="22"/>
                <w:color w:val="auto"/>
              </w:rPr>
            </w:pPr>
          </w:p>
        </w:tc>
        <w:tc>
          <w:tcPr>
            <w:tcW w:w="2540" w:type="dxa"/>
            <w:vAlign w:val="bottom"/>
            <w:tcBorders>
              <w:top w:val="single" w:sz="8" w:color="auto"/>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-136525</wp:posOffset>
            </wp:positionV>
            <wp:extent cx="68580" cy="737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73723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-136525</wp:posOffset>
            </wp:positionV>
            <wp:extent cx="68580" cy="737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73723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5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Europe, Middle East and North Africa</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shd w:val="clear" w:color="auto" w:fill="CCFFFF"/>
          </w:tcPr>
          <w:p>
            <w:pPr>
              <w:spacing w:after="0"/>
              <w:rPr>
                <w:sz w:val="16"/>
                <w:szCs w:val="16"/>
                <w:color w:val="auto"/>
              </w:rPr>
            </w:pPr>
          </w:p>
        </w:tc>
      </w:tr>
      <w:tr>
        <w:trPr>
          <w:trHeight w:val="251"/>
        </w:trPr>
        <w:tc>
          <w:tcPr>
            <w:tcW w:w="35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17"/>
                <w:szCs w:val="17"/>
                <w:color w:val="auto"/>
              </w:rPr>
              <w:t>Income tax provision (benefit)</w:t>
            </w:r>
            <w:r>
              <w:rPr>
                <w:rFonts w:ascii="Times New Roman" w:cs="Times New Roman" w:eastAsia="Times New Roman" w:hAnsi="Times New Roman"/>
                <w:sz w:val="28"/>
                <w:szCs w:val="28"/>
                <w:color w:val="auto"/>
                <w:vertAlign w:val="superscript"/>
              </w:rPr>
              <w:t>4</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58</w:t>
            </w: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57"/>
        </w:trPr>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3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2">
            <w:col w:w="7820" w:space="120"/>
            <w:col w:w="3300"/>
          </w:cols>
          <w:pgMar w:left="320" w:top="94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(loss) on asset sales</w:t>
            </w:r>
          </w:p>
        </w:tc>
        <w:tc>
          <w:tcPr>
            <w:tcW w:w="116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534</w:t>
            </w:r>
          </w:p>
        </w:tc>
        <w:tc>
          <w:tcPr>
            <w:tcW w:w="9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534</w:t>
            </w:r>
          </w:p>
        </w:tc>
      </w:tr>
      <w:tr>
        <w:trPr>
          <w:trHeight w:val="241"/>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Pending claims and settlements</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 before income taxes</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534</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r>
      <w:tr>
        <w:trPr>
          <w:trHeight w:val="223"/>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534</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r>
      <w:tr>
        <w:trPr>
          <w:trHeight w:val="39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International</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r>
      <w:tr>
        <w:trPr>
          <w:trHeight w:val="251"/>
        </w:trPr>
        <w:tc>
          <w:tcPr>
            <w:tcW w:w="33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17"/>
                <w:szCs w:val="17"/>
                <w:color w:val="auto"/>
              </w:rPr>
              <w:t>Income tax provision (benefit)</w:t>
            </w:r>
            <w:r>
              <w:rPr>
                <w:rFonts w:ascii="Times New Roman" w:cs="Times New Roman" w:eastAsia="Times New Roman" w:hAnsi="Times New Roman"/>
                <w:sz w:val="28"/>
                <w:szCs w:val="28"/>
                <w:color w:val="auto"/>
                <w:vertAlign w:val="superscript"/>
              </w:rPr>
              <w:t>5</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shd w:val="clear" w:color="auto" w:fill="CCFFFF"/>
          </w:tcPr>
          <w:p>
            <w:pPr>
              <w:spacing w:after="0"/>
              <w:rPr>
                <w:sz w:val="21"/>
                <w:szCs w:val="21"/>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56"/>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425"/>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Pending claims and settlements</w:t>
            </w:r>
          </w:p>
        </w:tc>
        <w:tc>
          <w:tcPr>
            <w:tcW w:w="116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(94)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investment in Cenovus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251</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AUD FX derivative</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debt extinguishment and</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r>
        <w:trPr>
          <w:trHeight w:val="241"/>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fees</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127</w:t>
            </w: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330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Subtotal before income taxes</w:t>
            </w:r>
          </w:p>
        </w:tc>
        <w:tc>
          <w:tcPr>
            <w:tcW w:w="116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color w:val="auto"/>
              </w:rPr>
              <w:t>368</w:t>
            </w:r>
          </w:p>
        </w:tc>
        <w:tc>
          <w:tcPr>
            <w:tcW w:w="94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(83)</w:t>
            </w:r>
          </w:p>
        </w:tc>
        <w:tc>
          <w:tcPr>
            <w:tcW w:w="9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FFFF"/>
            </w:tcBorders>
            <w:shd w:val="clear" w:color="auto" w:fill="CCFFFF"/>
          </w:tcPr>
          <w:p>
            <w:pPr>
              <w:spacing w:after="0"/>
              <w:rPr>
                <w:sz w:val="17"/>
                <w:szCs w:val="17"/>
                <w:color w:val="auto"/>
              </w:rPr>
            </w:pPr>
          </w:p>
        </w:tc>
        <w:tc>
          <w:tcPr>
            <w:tcW w:w="660" w:type="dxa"/>
            <w:vAlign w:val="bottom"/>
            <w:tcBorders>
              <w:bottom w:val="single" w:sz="8" w:color="CCFFFF"/>
            </w:tcBorders>
            <w:shd w:val="clear" w:color="auto" w:fill="CCFFFF"/>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191</w:t>
            </w:r>
          </w:p>
        </w:tc>
      </w:tr>
      <w:tr>
        <w:trPr>
          <w:trHeight w:val="223"/>
        </w:trPr>
        <w:tc>
          <w:tcPr>
            <w:tcW w:w="330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6"/>
                <w:szCs w:val="16"/>
                <w:color w:val="auto"/>
              </w:rPr>
              <w:t>Income tax provision (benefit)</w:t>
            </w:r>
            <w:r>
              <w:rPr>
                <w:rFonts w:ascii="Times New Roman" w:cs="Times New Roman" w:eastAsia="Times New Roman" w:hAnsi="Times New Roman"/>
                <w:sz w:val="25"/>
                <w:szCs w:val="25"/>
                <w:color w:val="auto"/>
                <w:vertAlign w:val="superscript"/>
              </w:rPr>
              <w:t>6</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(353)</w:t>
            </w: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56"/>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721</w:t>
            </w: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4963160" cy="771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63160" cy="771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4"/>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4"/>
                <w:szCs w:val="24"/>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64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0"/>
                <w:szCs w:val="20"/>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FFFF"/>
          </w:tcPr>
          <w:p>
            <w:pPr>
              <w:spacing w:after="0"/>
              <w:rPr>
                <w:sz w:val="24"/>
                <w:szCs w:val="24"/>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-462280</wp:posOffset>
            </wp:positionV>
            <wp:extent cx="2100580" cy="771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00580" cy="7715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820" w:space="120"/>
            <w:col w:w="3300"/>
          </w:cols>
          <w:pgMar w:left="320" w:top="94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c>
          <w:tcPr>
            <w:tcW w:w="266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vMerge w:val="continue"/>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1,470</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w:t>
            </w:r>
          </w:p>
        </w:tc>
        <w:tc>
          <w:tcPr>
            <w:tcW w:w="26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 w:lineRule="exact"/>
        <w:rPr>
          <w:sz w:val="20"/>
          <w:szCs w:val="20"/>
          <w:color w:val="auto"/>
        </w:rPr>
      </w:pPr>
    </w:p>
    <w:p>
      <w:pPr>
        <w:ind w:right="4060"/>
        <w:spacing w:after="0" w:line="199" w:lineRule="auto"/>
        <w:rPr>
          <w:sz w:val="20"/>
          <w:szCs w:val="20"/>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Includes a tax adjustment in Q1 2022 related to the closure of an audit; Q4 2022 tax adjustment in Alaska.</w:t>
      </w:r>
    </w:p>
    <w:p>
      <w:pPr>
        <w:spacing w:after="0" w:line="185" w:lineRule="auto"/>
        <w:rPr>
          <w:sz w:val="20"/>
          <w:szCs w:val="20"/>
          <w:color w:val="auto"/>
        </w:rPr>
      </w:pP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6"/>
          <w:szCs w:val="16"/>
          <w:i w:val="1"/>
          <w:iCs w:val="1"/>
          <w:color w:val="auto"/>
        </w:rPr>
        <w:t>Includes a tax adjustment in Q1 2022 related to the closure of an</w:t>
      </w:r>
    </w:p>
    <w:p>
      <w:pPr>
        <w:spacing w:after="0" w:line="235" w:lineRule="auto"/>
        <w:rPr>
          <w:sz w:val="20"/>
          <w:szCs w:val="20"/>
          <w:color w:val="auto"/>
        </w:rPr>
      </w:pPr>
      <w:r>
        <w:rPr>
          <w:rFonts w:ascii="Times New Roman" w:cs="Times New Roman" w:eastAsia="Times New Roman" w:hAnsi="Times New Roman"/>
          <w:sz w:val="18"/>
          <w:szCs w:val="18"/>
          <w:i w:val="1"/>
          <w:iCs w:val="1"/>
          <w:color w:val="auto"/>
        </w:rPr>
        <w:t>audit.</w:t>
      </w:r>
    </w:p>
    <w:p>
      <w:pPr>
        <w:spacing w:after="0" w:line="180" w:lineRule="auto"/>
        <w:rPr>
          <w:sz w:val="20"/>
          <w:szCs w:val="20"/>
          <w:color w:val="auto"/>
        </w:rPr>
      </w:pPr>
      <w:r>
        <w:rPr>
          <w:rFonts w:ascii="Times New Roman" w:cs="Times New Roman" w:eastAsia="Times New Roman" w:hAnsi="Times New Roman"/>
          <w:sz w:val="25"/>
          <w:szCs w:val="25"/>
          <w:i w:val="1"/>
          <w:iCs w:val="1"/>
          <w:color w:val="auto"/>
          <w:vertAlign w:val="superscript"/>
        </w:rPr>
        <w:t>3</w:t>
      </w:r>
      <w:r>
        <w:rPr>
          <w:rFonts w:ascii="Times New Roman" w:cs="Times New Roman" w:eastAsia="Times New Roman" w:hAnsi="Times New Roman"/>
          <w:sz w:val="16"/>
          <w:szCs w:val="16"/>
          <w:i w:val="1"/>
          <w:iCs w:val="1"/>
          <w:color w:val="auto"/>
        </w:rPr>
        <w:t>Includes a tax adjustment in Q4 2022 related to pending claims and settlements.</w:t>
      </w:r>
    </w:p>
    <w:p>
      <w:pPr>
        <w:spacing w:after="0" w:line="181" w:lineRule="auto"/>
        <w:rPr>
          <w:sz w:val="20"/>
          <w:szCs w:val="20"/>
          <w:color w:val="auto"/>
        </w:rPr>
      </w:pPr>
      <w:r>
        <w:rPr>
          <w:rFonts w:ascii="Times New Roman" w:cs="Times New Roman" w:eastAsia="Times New Roman" w:hAnsi="Times New Roman"/>
          <w:sz w:val="25"/>
          <w:szCs w:val="25"/>
          <w:i w:val="1"/>
          <w:iCs w:val="1"/>
          <w:color w:val="auto"/>
          <w:vertAlign w:val="superscript"/>
        </w:rPr>
        <w:t>4</w:t>
      </w:r>
      <w:r>
        <w:rPr>
          <w:rFonts w:ascii="Times New Roman" w:cs="Times New Roman" w:eastAsia="Times New Roman" w:hAnsi="Times New Roman"/>
          <w:sz w:val="16"/>
          <w:szCs w:val="16"/>
          <w:i w:val="1"/>
          <w:iCs w:val="1"/>
          <w:color w:val="auto"/>
        </w:rPr>
        <w:t>Includes a tax adjustment in Q2 2022 related to Norway tax reform.</w:t>
      </w:r>
    </w:p>
    <w:p>
      <w:pPr>
        <w:spacing w:after="0" w:line="180" w:lineRule="auto"/>
        <w:rPr>
          <w:sz w:val="20"/>
          <w:szCs w:val="20"/>
          <w:color w:val="auto"/>
        </w:rPr>
      </w:pPr>
      <w:r>
        <w:rPr>
          <w:rFonts w:ascii="Times New Roman" w:cs="Times New Roman" w:eastAsia="Times New Roman" w:hAnsi="Times New Roman"/>
          <w:sz w:val="25"/>
          <w:szCs w:val="25"/>
          <w:i w:val="1"/>
          <w:iCs w:val="1"/>
          <w:color w:val="auto"/>
          <w:vertAlign w:val="superscript"/>
        </w:rPr>
        <w:t>5</w:t>
      </w:r>
      <w:r>
        <w:rPr>
          <w:rFonts w:ascii="Times New Roman" w:cs="Times New Roman" w:eastAsia="Times New Roman" w:hAnsi="Times New Roman"/>
          <w:sz w:val="16"/>
          <w:szCs w:val="16"/>
          <w:i w:val="1"/>
          <w:iCs w:val="1"/>
          <w:color w:val="auto"/>
        </w:rPr>
        <w:t>Includes a tax adjustment in Q3 2022 and Q4 2022 related to pending claims and settlements.</w:t>
      </w:r>
    </w:p>
    <w:p>
      <w:pPr>
        <w:spacing w:after="0" w:line="1" w:lineRule="exact"/>
        <w:rPr>
          <w:sz w:val="20"/>
          <w:szCs w:val="20"/>
          <w:color w:val="auto"/>
        </w:rPr>
      </w:pPr>
    </w:p>
    <w:p>
      <w:pPr>
        <w:ind w:right="340"/>
        <w:spacing w:after="0" w:line="197" w:lineRule="auto"/>
        <w:rPr>
          <w:sz w:val="20"/>
          <w:szCs w:val="20"/>
          <w:color w:val="auto"/>
        </w:rPr>
      </w:pPr>
      <w:r>
        <w:rPr>
          <w:rFonts w:ascii="Times New Roman" w:cs="Times New Roman" w:eastAsia="Times New Roman" w:hAnsi="Times New Roman"/>
          <w:sz w:val="29"/>
          <w:szCs w:val="29"/>
          <w:i w:val="1"/>
          <w:iCs w:val="1"/>
          <w:color w:val="auto"/>
          <w:vertAlign w:val="superscript"/>
        </w:rPr>
        <w:t>6</w:t>
      </w:r>
      <w:r>
        <w:rPr>
          <w:rFonts w:ascii="Times New Roman" w:cs="Times New Roman" w:eastAsia="Times New Roman" w:hAnsi="Times New Roman"/>
          <w:sz w:val="18"/>
          <w:szCs w:val="18"/>
          <w:i w:val="1"/>
          <w:iCs w:val="1"/>
          <w:color w:val="auto"/>
        </w:rPr>
        <w:t>Includes tax adjustment related to Q1 2022 Indonesia disposition; Q1 2022 tax adjustments including the closure of an audit; Q4 2022 tax adjustment related to pending claims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YTD</w:t>
            </w:r>
          </w:p>
        </w:tc>
        <w:tc>
          <w:tcPr>
            <w:tcW w:w="0" w:type="dxa"/>
            <w:vAlign w:val="bottom"/>
          </w:tcPr>
          <w:p>
            <w:pPr>
              <w:spacing w:after="0"/>
              <w:rPr>
                <w:sz w:val="1"/>
                <w:szCs w:val="1"/>
                <w:color w:val="auto"/>
              </w:rPr>
            </w:pPr>
          </w:p>
        </w:tc>
      </w:tr>
      <w:tr>
        <w:trPr>
          <w:trHeight w:val="201"/>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Millions</w:t>
            </w:r>
          </w:p>
        </w:tc>
        <w:tc>
          <w:tcPr>
            <w:tcW w:w="8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CONSOLIDATED BALANCE SHEET</w:t>
            </w: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6,414</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6,909</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8,010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6,458</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6,458</w:t>
            </w:r>
          </w:p>
        </w:tc>
        <w:tc>
          <w:tcPr>
            <w:tcW w:w="0" w:type="dxa"/>
            <w:vAlign w:val="bottom"/>
          </w:tcPr>
          <w:p>
            <w:pPr>
              <w:spacing w:after="0"/>
              <w:rPr>
                <w:sz w:val="1"/>
                <w:szCs w:val="1"/>
                <w:color w:val="auto"/>
              </w:rPr>
            </w:pPr>
          </w:p>
        </w:tc>
      </w:tr>
      <w:tr>
        <w:trPr>
          <w:trHeight w:val="198"/>
        </w:trPr>
        <w:tc>
          <w:tcPr>
            <w:tcW w:w="3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730</w:t>
            </w:r>
          </w:p>
        </w:tc>
        <w:tc>
          <w:tcPr>
            <w:tcW w:w="9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1,272</w:t>
            </w:r>
          </w:p>
        </w:tc>
        <w:tc>
          <w:tcPr>
            <w:tcW w:w="9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2,412</w:t>
            </w:r>
          </w:p>
        </w:tc>
        <w:tc>
          <w:tcPr>
            <w:tcW w:w="9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2,785</w:t>
            </w:r>
          </w:p>
        </w:tc>
        <w:tc>
          <w:tcPr>
            <w:tcW w:w="780" w:type="dxa"/>
            <w:vAlign w:val="bottom"/>
            <w:shd w:val="clear" w:color="auto" w:fill="CCFF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16"/>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and notes receivable</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7,807</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8,081</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7,338</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7,075</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16"/>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and notes receivable—related</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1,174</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1,234</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1,226</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1,219</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1,389</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1,292</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1,451</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1,199</w:t>
            </w:r>
          </w:p>
        </w:tc>
        <w:tc>
          <w:tcPr>
            <w:tcW w:w="780" w:type="dxa"/>
            <w:vAlign w:val="bottom"/>
            <w:tcBorders>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17,586</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18,860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20,453</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18,749</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18,749</w:t>
            </w: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and long-term receivables</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8,309</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8,203</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8,204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8,225</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8,225</w:t>
            </w:r>
          </w:p>
        </w:tc>
        <w:tc>
          <w:tcPr>
            <w:tcW w:w="0" w:type="dxa"/>
            <w:vAlign w:val="bottom"/>
          </w:tcPr>
          <w:p>
            <w:pPr>
              <w:spacing w:after="0"/>
              <w:rPr>
                <w:sz w:val="1"/>
                <w:szCs w:val="1"/>
                <w:color w:val="auto"/>
              </w:rPr>
            </w:pPr>
          </w:p>
        </w:tc>
      </w:tr>
      <w:tr>
        <w:trPr>
          <w:trHeight w:val="198"/>
        </w:trPr>
        <w:tc>
          <w:tcPr>
            <w:tcW w:w="3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properties, plants and equipment</w:t>
            </w:r>
          </w:p>
        </w:tc>
        <w:tc>
          <w:tcPr>
            <w:tcW w:w="8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64,642</w:t>
            </w:r>
          </w:p>
        </w:tc>
        <w:tc>
          <w:tcPr>
            <w:tcW w:w="9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64,008</w:t>
            </w:r>
          </w:p>
        </w:tc>
        <w:tc>
          <w:tcPr>
            <w:tcW w:w="9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63,673</w:t>
            </w:r>
          </w:p>
        </w:tc>
        <w:tc>
          <w:tcPr>
            <w:tcW w:w="9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64,866</w:t>
            </w:r>
          </w:p>
        </w:tc>
        <w:tc>
          <w:tcPr>
            <w:tcW w:w="780" w:type="dxa"/>
            <w:vAlign w:val="bottom"/>
            <w:shd w:val="clear" w:color="auto" w:fill="CCFF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64,866</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2,771</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2,622</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2,507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1,989</w:t>
            </w:r>
          </w:p>
        </w:tc>
        <w:tc>
          <w:tcPr>
            <w:tcW w:w="780" w:type="dxa"/>
            <w:vAlign w:val="bottom"/>
            <w:tcBorders>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93,308</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93,693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94,837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93,829</w:t>
            </w:r>
          </w:p>
        </w:tc>
        <w:tc>
          <w:tcPr>
            <w:tcW w:w="780" w:type="dxa"/>
            <w:vAlign w:val="bottom"/>
            <w:tcBorders>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93,829</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5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5460"/>
                    </a:xfrm>
                    <a:prstGeom prst="rect">
                      <a:avLst/>
                    </a:prstGeom>
                    <a:noFill/>
                  </pic:spPr>
                </pic:pic>
              </a:graphicData>
            </a:graphic>
          </wp:anchor>
        </w:drawing>
        <w:br w:type="column"/>
      </w:r>
    </w:p>
    <w:p>
      <w:pPr>
        <w:jc w:val="center"/>
        <w:ind w:right="10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80" w:type="dxa"/>
            <w:vAlign w:val="bottom"/>
            <w:tcBorders>
              <w:top w:val="single" w:sz="8" w:color="auto"/>
            </w:tcBorders>
          </w:tcPr>
          <w:p>
            <w:pPr>
              <w:jc w:val="right"/>
              <w:ind w:right="73"/>
              <w:spacing w:after="0" w:line="201" w:lineRule="exact"/>
              <w:rPr>
                <w:sz w:val="20"/>
                <w:szCs w:val="20"/>
                <w:color w:val="auto"/>
              </w:rPr>
            </w:pPr>
            <w:r>
              <w:rPr>
                <w:rFonts w:ascii="Times New Roman" w:cs="Times New Roman" w:eastAsia="Times New Roman" w:hAnsi="Times New Roman"/>
                <w:sz w:val="18"/>
                <w:szCs w:val="18"/>
                <w:b w:val="1"/>
                <w:bCs w:val="1"/>
                <w:color w:val="auto"/>
                <w:w w:val="96"/>
              </w:rPr>
              <w:t>1st Qtr2nd</w:t>
            </w:r>
          </w:p>
        </w:tc>
        <w:tc>
          <w:tcPr>
            <w:tcW w:w="56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3rd</w:t>
            </w:r>
          </w:p>
        </w:tc>
        <w:tc>
          <w:tcPr>
            <w:tcW w:w="62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4th</w:t>
            </w:r>
          </w:p>
        </w:tc>
        <w:tc>
          <w:tcPr>
            <w:tcW w:w="680" w:type="dxa"/>
            <w:vAlign w:val="bottom"/>
            <w:tcBorders>
              <w:top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YTD</w:t>
            </w:r>
          </w:p>
        </w:tc>
      </w:tr>
      <w:tr>
        <w:trPr>
          <w:trHeight w:val="238"/>
        </w:trPr>
        <w:tc>
          <w:tcPr>
            <w:tcW w:w="14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Qtr</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Qtr</w:t>
            </w:r>
          </w:p>
        </w:tc>
        <w:tc>
          <w:tcPr>
            <w:tcW w:w="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-273685</wp:posOffset>
            </wp:positionV>
            <wp:extent cx="497205"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720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2560" w:type="dxa"/>
            <w:vAlign w:val="bottom"/>
            <w:tcBorders>
              <w:top w:val="single" w:sz="8" w:color="auto"/>
            </w:tcBorders>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Borders>
              <w:top w:val="single" w:sz="8" w:color="auto"/>
            </w:tcBorders>
            <w:shd w:val="clear" w:color="auto" w:fill="CCFFFF"/>
          </w:tcPr>
          <w:p>
            <w:pPr>
              <w:spacing w:after="0"/>
              <w:rPr>
                <w:sz w:val="19"/>
                <w:szCs w:val="19"/>
                <w:color w:val="auto"/>
              </w:rPr>
            </w:pPr>
          </w:p>
        </w:tc>
        <w:tc>
          <w:tcPr>
            <w:tcW w:w="580" w:type="dxa"/>
            <w:vAlign w:val="bottom"/>
            <w:tcBorders>
              <w:top w:val="single" w:sz="8" w:color="auto"/>
            </w:tcBorders>
            <w:vMerge w:val="restart"/>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60" w:type="dxa"/>
            <w:vAlign w:val="bottom"/>
            <w:vMerge w:val="continue"/>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80" w:type="dxa"/>
            <w:vAlign w:val="bottom"/>
            <w:vMerge w:val="continue"/>
            <w:shd w:val="clear" w:color="auto" w:fill="CCFFFF"/>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60" w:type="dxa"/>
            <w:vAlign w:val="bottom"/>
          </w:tcPr>
          <w:p>
            <w:pPr>
              <w:jc w:val="right"/>
              <w:ind w:right="1790"/>
              <w:spacing w:after="0" w:line="198" w:lineRule="exact"/>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FFFF"/>
          </w:tcPr>
          <w:p>
            <w:pPr>
              <w:spacing w:after="0"/>
              <w:rPr>
                <w:sz w:val="17"/>
                <w:szCs w:val="17"/>
                <w:color w:val="auto"/>
              </w:rPr>
            </w:pPr>
          </w:p>
        </w:tc>
        <w:tc>
          <w:tcPr>
            <w:tcW w:w="58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shd w:val="clear" w:color="auto" w:fill="CCFFFF"/>
          </w:tcPr>
          <w:p>
            <w:pPr>
              <w:spacing w:after="0"/>
              <w:rPr>
                <w:sz w:val="20"/>
                <w:szCs w:val="20"/>
                <w:color w:val="auto"/>
              </w:rPr>
            </w:pPr>
          </w:p>
        </w:tc>
        <w:tc>
          <w:tcPr>
            <w:tcW w:w="5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FFFF"/>
          </w:tcPr>
          <w:p>
            <w:pPr>
              <w:spacing w:after="0"/>
              <w:rPr>
                <w:sz w:val="24"/>
                <w:szCs w:val="24"/>
                <w:color w:val="auto"/>
              </w:rPr>
            </w:pPr>
          </w:p>
        </w:tc>
        <w:tc>
          <w:tcPr>
            <w:tcW w:w="5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auto"/>
            </w:tcBorders>
            <w:shd w:val="clear" w:color="auto" w:fill="CCFFFF"/>
          </w:tcPr>
          <w:p>
            <w:pPr>
              <w:spacing w:after="0"/>
              <w:rPr>
                <w:sz w:val="20"/>
                <w:szCs w:val="20"/>
                <w:color w:val="auto"/>
              </w:rPr>
            </w:pPr>
          </w:p>
        </w:tc>
        <w:tc>
          <w:tcPr>
            <w:tcW w:w="58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tcPr>
          <w:p>
            <w:pPr>
              <w:jc w:val="right"/>
              <w:ind w:right="1790"/>
              <w:spacing w:after="0" w:line="198" w:lineRule="exact"/>
              <w:rPr>
                <w:sz w:val="20"/>
                <w:szCs w:val="20"/>
                <w:color w:val="auto"/>
              </w:rPr>
            </w:pPr>
            <w:r>
              <w:rPr>
                <w:rFonts w:ascii="Times New Roman" w:cs="Times New Roman" w:eastAsia="Times New Roman" w:hAnsi="Times New Roman"/>
                <w:sz w:val="18"/>
                <w:szCs w:val="18"/>
                <w:color w:val="auto"/>
              </w:rPr>
              <w:t>65,090</w:t>
            </w:r>
          </w:p>
        </w:tc>
        <w:tc>
          <w:tcPr>
            <w:tcW w:w="100" w:type="dxa"/>
            <w:vAlign w:val="bottom"/>
            <w:shd w:val="clear" w:color="auto" w:fill="CCFFFF"/>
          </w:tcPr>
          <w:p>
            <w:pPr>
              <w:spacing w:after="0"/>
              <w:rPr>
                <w:sz w:val="17"/>
                <w:szCs w:val="17"/>
                <w:color w:val="auto"/>
              </w:rPr>
            </w:pPr>
          </w:p>
        </w:tc>
        <w:tc>
          <w:tcPr>
            <w:tcW w:w="58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65,090</w:t>
            </w:r>
          </w:p>
        </w:tc>
        <w:tc>
          <w:tcPr>
            <w:tcW w:w="1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auto"/>
            </w:tcBorders>
            <w:shd w:val="clear" w:color="auto" w:fill="CCFFFF"/>
          </w:tcPr>
          <w:p>
            <w:pPr>
              <w:spacing w:after="0"/>
              <w:rPr>
                <w:sz w:val="20"/>
                <w:szCs w:val="20"/>
                <w:color w:val="auto"/>
              </w:rPr>
            </w:pPr>
          </w:p>
        </w:tc>
        <w:tc>
          <w:tcPr>
            <w:tcW w:w="58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6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91,441</w:t>
            </w:r>
          </w:p>
        </w:tc>
        <w:tc>
          <w:tcPr>
            <w:tcW w:w="100" w:type="dxa"/>
            <w:vAlign w:val="bottom"/>
            <w:tcBorders>
              <w:bottom w:val="single" w:sz="8" w:color="auto"/>
            </w:tcBorders>
            <w:shd w:val="clear" w:color="auto" w:fill="CCFFFF"/>
          </w:tcPr>
          <w:p>
            <w:pPr>
              <w:spacing w:after="0"/>
              <w:rPr>
                <w:sz w:val="22"/>
                <w:szCs w:val="22"/>
                <w:color w:val="auto"/>
              </w:rPr>
            </w:pPr>
          </w:p>
        </w:tc>
        <w:tc>
          <w:tcPr>
            <w:tcW w:w="58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91,441</w:t>
            </w:r>
          </w:p>
        </w:tc>
        <w:tc>
          <w:tcPr>
            <w:tcW w:w="10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7800" w:space="100"/>
            <w:col w:w="3340"/>
          </w:cols>
          <w:pgMar w:left="320" w:top="94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shd w:val="clear" w:color="auto" w:fill="CCFFFF"/>
          </w:tcPr>
          <w:p>
            <w:pPr>
              <w:spacing w:after="0"/>
              <w:rPr>
                <w:sz w:val="17"/>
                <w:szCs w:val="17"/>
                <w:color w:val="auto"/>
              </w:rPr>
            </w:pPr>
          </w:p>
        </w:tc>
      </w:tr>
      <w:tr>
        <w:trPr>
          <w:trHeight w:val="198"/>
        </w:trPr>
        <w:tc>
          <w:tcPr>
            <w:tcW w:w="33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4,875</w:t>
            </w:r>
          </w:p>
        </w:tc>
        <w:tc>
          <w:tcPr>
            <w:tcW w:w="9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5,845</w:t>
            </w:r>
          </w:p>
        </w:tc>
        <w:tc>
          <w:tcPr>
            <w:tcW w:w="8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6,242</w:t>
            </w:r>
          </w:p>
        </w:tc>
        <w:tc>
          <w:tcPr>
            <w:tcW w:w="92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6,113</w:t>
            </w:r>
          </w:p>
        </w:tc>
        <w:tc>
          <w:tcPr>
            <w:tcW w:w="780" w:type="dxa"/>
            <w:vAlign w:val="bottom"/>
            <w:shd w:val="clear" w:color="auto" w:fill="CCFF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6,113</w:t>
            </w:r>
          </w:p>
        </w:tc>
      </w:tr>
      <w:tr>
        <w:trPr>
          <w:trHeight w:val="216"/>
        </w:trPr>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payable—related parties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676</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664</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3,162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2,759</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3,187</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3,193</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446</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529</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628</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728</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r>
      <w:tr>
        <w:trPr>
          <w:trHeight w:val="241"/>
        </w:trPr>
        <w:tc>
          <w:tcPr>
            <w:tcW w:w="3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accruals</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1,959</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2,379</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3,250</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2,346</w:t>
            </w:r>
          </w:p>
        </w:tc>
        <w:tc>
          <w:tcPr>
            <w:tcW w:w="780" w:type="dxa"/>
            <w:vAlign w:val="bottom"/>
            <w:tcBorders>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r>
      <w:tr>
        <w:trPr>
          <w:trHeight w:val="216"/>
        </w:trPr>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11,624</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12,216</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13,997</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12,847</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12,847</w:t>
            </w: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17,586</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16,295</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16,297</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16,226</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shd w:val="clear" w:color="auto" w:fill="CCFFFF"/>
              </w:rPr>
              <w:t>16,226</w:t>
            </w:r>
          </w:p>
        </w:tc>
      </w:tr>
      <w:tr>
        <w:trPr>
          <w:trHeight w:val="198"/>
        </w:trPr>
        <w:tc>
          <w:tcPr>
            <w:tcW w:w="33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Asset retirement obligations and accrued</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shd w:val="clear" w:color="auto" w:fill="CCFFFF"/>
          </w:tcPr>
          <w:p>
            <w:pPr>
              <w:spacing w:after="0"/>
              <w:rPr>
                <w:sz w:val="17"/>
                <w:szCs w:val="17"/>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costs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5,815</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5,737</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5,729</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6,401</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6,401</w:t>
            </w: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6,556</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6,694</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7,218</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7,726</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7,726</w:t>
            </w: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1,085</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1,080</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1,087</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1,074</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r>
      <w:tr>
        <w:trPr>
          <w:trHeight w:val="241"/>
        </w:trPr>
        <w:tc>
          <w:tcPr>
            <w:tcW w:w="3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1,424</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1,469</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1,430</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1,552</w:t>
            </w:r>
          </w:p>
        </w:tc>
        <w:tc>
          <w:tcPr>
            <w:tcW w:w="780" w:type="dxa"/>
            <w:vAlign w:val="bottom"/>
            <w:tcBorders>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1,552</w:t>
            </w:r>
          </w:p>
        </w:tc>
      </w:tr>
      <w:tr>
        <w:trPr>
          <w:trHeight w:val="223"/>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44,090</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43,491</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45,758</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45,826</w:t>
            </w:r>
          </w:p>
        </w:tc>
        <w:tc>
          <w:tcPr>
            <w:tcW w:w="780" w:type="dxa"/>
            <w:vAlign w:val="bottom"/>
            <w:tcBorders>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45,826</w:t>
            </w:r>
          </w:p>
        </w:tc>
      </w:tr>
      <w:tr>
        <w:trPr>
          <w:trHeight w:val="216"/>
        </w:trPr>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4"/>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5,078</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5,078</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1,317</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1,317</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2,847</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2,847</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420</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r>
      <w:tr>
        <w:trPr>
          <w:trHeight w:val="241"/>
        </w:trPr>
        <w:tc>
          <w:tcPr>
            <w:tcW w:w="256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1,869</w:t>
            </w:r>
          </w:p>
        </w:tc>
        <w:tc>
          <w:tcPr>
            <w:tcW w:w="7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11,553</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11,553</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15,266</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15,266</w:t>
            </w:r>
          </w:p>
        </w:tc>
      </w:tr>
      <w:tr>
        <w:trPr>
          <w:trHeight w:val="414"/>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6,324</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6,324</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7,927</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7,927</w:t>
            </w:r>
          </w:p>
        </w:tc>
      </w:tr>
      <w:tr>
        <w:trPr>
          <w:trHeight w:val="216"/>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1,007</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r>
      <w:tr>
        <w:trPr>
          <w:trHeight w:val="241"/>
        </w:trPr>
        <w:tc>
          <w:tcPr>
            <w:tcW w:w="256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1,581</w:t>
            </w:r>
          </w:p>
        </w:tc>
        <w:tc>
          <w:tcPr>
            <w:tcW w:w="7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r>
      <w:tr>
        <w:trPr>
          <w:trHeight w:val="223"/>
        </w:trPr>
        <w:tc>
          <w:tcPr>
            <w:tcW w:w="256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43,658</w:t>
            </w:r>
          </w:p>
        </w:tc>
        <w:tc>
          <w:tcPr>
            <w:tcW w:w="7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43,658</w:t>
            </w:r>
          </w:p>
        </w:tc>
      </w:tr>
      <w:tr>
        <w:trPr>
          <w:trHeight w:val="216"/>
        </w:trPr>
        <w:tc>
          <w:tcPr>
            <w:tcW w:w="2560" w:type="dxa"/>
            <w:vAlign w:val="bottom"/>
          </w:tcPr>
          <w:p>
            <w:pPr>
              <w:spacing w:after="0"/>
              <w:rPr>
                <w:sz w:val="18"/>
                <w:szCs w:val="18"/>
                <w:color w:val="auto"/>
              </w:rPr>
            </w:pPr>
          </w:p>
        </w:tc>
        <w:tc>
          <w:tcPr>
            <w:tcW w:w="780" w:type="dxa"/>
            <w:vAlign w:val="bottom"/>
            <w:shd w:val="clear" w:color="auto" w:fill="CCFF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2">
            <w:col w:w="7800" w:space="100"/>
            <w:col w:w="3340"/>
          </w:cols>
          <w:pgMar w:left="320" w:top="94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shd w:val="clear" w:color="auto" w:fill="CCFFFF"/>
          </w:tcPr>
          <w:p>
            <w:pPr>
              <w:spacing w:after="0"/>
              <w:rPr>
                <w:sz w:val="18"/>
                <w:szCs w:val="18"/>
                <w:color w:val="auto"/>
              </w:rPr>
            </w:pPr>
          </w:p>
        </w:tc>
      </w:tr>
      <w:tr>
        <w:trPr>
          <w:trHeight w:val="198"/>
        </w:trPr>
        <w:tc>
          <w:tcPr>
            <w:tcW w:w="32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issued</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shd w:val="clear" w:color="auto" w:fill="CCFFFF"/>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80" w:type="dxa"/>
            <w:vAlign w:val="bottom"/>
            <w:shd w:val="clear" w:color="auto" w:fill="CCFFFF"/>
          </w:tcPr>
          <w:p>
            <w:pPr>
              <w:spacing w:after="0"/>
              <w:rPr>
                <w:sz w:val="17"/>
                <w:szCs w:val="17"/>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 value</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60,907</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61,045</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61,089</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61,142</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61,142</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61,100</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61,100</w:t>
            </w:r>
          </w:p>
        </w:tc>
      </w:tr>
      <w:tr>
        <w:trPr>
          <w:trHeight w:val="216"/>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stock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(52,344)</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(54,644)</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(57,444)</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(60,189)</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(60,189)</w:t>
            </w:r>
          </w:p>
        </w:tc>
        <w:tc>
          <w:tcPr>
            <w:tcW w:w="266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(61,904)</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(61,904)</w:t>
            </w:r>
          </w:p>
        </w:tc>
      </w:tr>
      <w:tr>
        <w:trPr>
          <w:trHeight w:val="216"/>
        </w:trPr>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(4,808)</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(5,313)</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(5,865)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266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(6,027)</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(6,027)</w:t>
            </w:r>
          </w:p>
        </w:tc>
      </w:tr>
      <w:tr>
        <w:trPr>
          <w:trHeight w:val="241"/>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45,442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49,093</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51,278</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53,029</w:t>
            </w:r>
          </w:p>
        </w:tc>
        <w:tc>
          <w:tcPr>
            <w:tcW w:w="780" w:type="dxa"/>
            <w:vAlign w:val="bottom"/>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53,029</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54,593</w:t>
            </w:r>
          </w:p>
        </w:tc>
        <w:tc>
          <w:tcPr>
            <w:tcW w:w="7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54,593</w:t>
            </w:r>
          </w:p>
        </w:tc>
      </w:tr>
      <w:tr>
        <w:trPr>
          <w:trHeight w:val="223"/>
        </w:trPr>
        <w:tc>
          <w:tcPr>
            <w:tcW w:w="3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49,218</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50,202</w:t>
            </w: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49,079</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48,003</w:t>
            </w:r>
          </w:p>
        </w:tc>
        <w:tc>
          <w:tcPr>
            <w:tcW w:w="780" w:type="dxa"/>
            <w:vAlign w:val="bottom"/>
            <w:tcBorders>
              <w:top w:val="single" w:sz="8" w:color="auto"/>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48,003</w:t>
            </w:r>
          </w:p>
        </w:tc>
        <w:tc>
          <w:tcPr>
            <w:tcW w:w="100" w:type="dxa"/>
            <w:vAlign w:val="bottom"/>
          </w:tcPr>
          <w:p>
            <w:pPr>
              <w:spacing w:after="0"/>
              <w:rPr>
                <w:sz w:val="19"/>
                <w:szCs w:val="19"/>
                <w:color w:val="auto"/>
              </w:rPr>
            </w:pPr>
          </w:p>
        </w:tc>
        <w:tc>
          <w:tcPr>
            <w:tcW w:w="2560" w:type="dxa"/>
            <w:vAlign w:val="bottom"/>
            <w:tcBorders>
              <w:top w:val="single" w:sz="8" w:color="auto"/>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47,783</w:t>
            </w:r>
          </w:p>
        </w:tc>
        <w:tc>
          <w:tcPr>
            <w:tcW w:w="78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47,783</w:t>
            </w:r>
          </w:p>
        </w:tc>
      </w:tr>
      <w:tr>
        <w:trPr>
          <w:trHeight w:val="256"/>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93,308</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93,693</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94,837</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93,829</w:t>
            </w:r>
          </w:p>
        </w:tc>
        <w:tc>
          <w:tcPr>
            <w:tcW w:w="780" w:type="dxa"/>
            <w:vAlign w:val="bottom"/>
            <w:tcBorders>
              <w:bottom w:val="single" w:sz="8" w:color="auto"/>
            </w:tcBorders>
            <w:shd w:val="clear" w:color="auto" w:fill="CCFFFF"/>
          </w:tcPr>
          <w:p>
            <w:pPr>
              <w:jc w:val="right"/>
              <w:ind w:right="30"/>
              <w:spacing w:after="0"/>
              <w:rPr>
                <w:sz w:val="20"/>
                <w:szCs w:val="20"/>
                <w:color w:val="auto"/>
              </w:rPr>
            </w:pPr>
            <w:r>
              <w:rPr>
                <w:rFonts w:ascii="Times New Roman" w:cs="Times New Roman" w:eastAsia="Times New Roman" w:hAnsi="Times New Roman"/>
                <w:sz w:val="18"/>
                <w:szCs w:val="18"/>
                <w:color w:val="auto"/>
              </w:rPr>
              <w:t>93,829</w:t>
            </w:r>
          </w:p>
        </w:tc>
        <w:tc>
          <w:tcPr>
            <w:tcW w:w="100" w:type="dxa"/>
            <w:vAlign w:val="bottom"/>
          </w:tcPr>
          <w:p>
            <w:pPr>
              <w:spacing w:after="0"/>
              <w:rPr>
                <w:sz w:val="22"/>
                <w:szCs w:val="22"/>
                <w:color w:val="auto"/>
              </w:rPr>
            </w:pPr>
          </w:p>
        </w:tc>
        <w:tc>
          <w:tcPr>
            <w:tcW w:w="256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91,441</w:t>
            </w:r>
          </w:p>
        </w:tc>
        <w:tc>
          <w:tcPr>
            <w:tcW w:w="7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91,441</w:t>
            </w:r>
          </w:p>
        </w:tc>
      </w:tr>
      <w:tr>
        <w:trPr>
          <w:trHeight w:val="419"/>
        </w:trPr>
        <w:tc>
          <w:tcPr>
            <w:tcW w:w="3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type w:val="continuous"/>
        </w:sectPr>
      </w:pPr>
    </w:p>
    <w:bookmarkStart w:id="15" w:name="page16"/>
    <w:bookmarkEnd w:id="1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5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5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38"/>
        </w:trPr>
        <w:tc>
          <w:tcPr>
            <w:tcW w:w="3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100" w:type="dxa"/>
            <w:vAlign w:val="bottom"/>
            <w:shd w:val="clear" w:color="auto" w:fill="CCFFFF"/>
          </w:tcPr>
          <w:p>
            <w:pPr>
              <w:spacing w:after="0"/>
              <w:rPr>
                <w:sz w:val="20"/>
                <w:szCs w:val="20"/>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YTD</w:t>
            </w:r>
          </w:p>
        </w:tc>
      </w:tr>
      <w:tr>
        <w:trPr>
          <w:trHeight w:val="201"/>
        </w:trPr>
        <w:tc>
          <w:tcPr>
            <w:tcW w:w="34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680" w:type="dxa"/>
            <w:vAlign w:val="bottom"/>
            <w:shd w:val="clear" w:color="auto" w:fill="CCFFFF"/>
          </w:tcPr>
          <w:p>
            <w:pPr>
              <w:spacing w:after="0"/>
              <w:rPr>
                <w:sz w:val="17"/>
                <w:szCs w:val="17"/>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Millions</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shd w:val="clear" w:color="auto" w:fill="CCFFFF"/>
          </w:tcPr>
          <w:p>
            <w:pPr>
              <w:spacing w:after="0"/>
              <w:rPr>
                <w:sz w:val="18"/>
                <w:szCs w:val="18"/>
                <w:color w:val="auto"/>
              </w:rPr>
            </w:pPr>
          </w:p>
        </w:tc>
        <w:tc>
          <w:tcPr>
            <w:tcW w:w="680" w:type="dxa"/>
            <w:vAlign w:val="bottom"/>
            <w:tcBorders>
              <w:top w:val="single" w:sz="8" w:color="auto"/>
            </w:tcBorders>
            <w:shd w:val="clear" w:color="auto" w:fill="CCFFFF"/>
          </w:tcPr>
          <w:p>
            <w:pPr>
              <w:spacing w:after="0"/>
              <w:rPr>
                <w:sz w:val="18"/>
                <w:szCs w:val="18"/>
                <w:color w:val="auto"/>
              </w:rPr>
            </w:pPr>
          </w:p>
        </w:tc>
      </w:tr>
      <w:tr>
        <w:trPr>
          <w:trHeight w:val="23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70C0"/>
              </w:rPr>
              <w:t>CASH FLOW INFORMATION</w:t>
            </w: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680" w:type="dxa"/>
            <w:vAlign w:val="bottom"/>
            <w:shd w:val="clear" w:color="auto" w:fill="CCFFFF"/>
          </w:tcPr>
          <w:p>
            <w:pPr>
              <w:spacing w:after="0"/>
              <w:rPr>
                <w:sz w:val="20"/>
                <w:szCs w:val="20"/>
                <w:color w:val="auto"/>
              </w:rPr>
            </w:pPr>
          </w:p>
        </w:tc>
      </w:tr>
      <w:tr>
        <w:trPr>
          <w:trHeight w:val="41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80" w:type="dxa"/>
            <w:vAlign w:val="bottom"/>
            <w:shd w:val="clear" w:color="auto" w:fill="CCFFFF"/>
          </w:tcPr>
          <w:p>
            <w:pPr>
              <w:spacing w:after="0"/>
              <w:rPr>
                <w:sz w:val="24"/>
                <w:szCs w:val="24"/>
                <w:color w:val="auto"/>
              </w:rPr>
            </w:pP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5,759</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5,145</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4,527</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18,680</w:t>
            </w:r>
          </w:p>
        </w:tc>
      </w:tr>
      <w:tr>
        <w:trPr>
          <w:trHeight w:val="198"/>
        </w:trPr>
        <w:tc>
          <w:tcPr>
            <w:tcW w:w="34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8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1,823</w:t>
            </w:r>
          </w:p>
        </w:tc>
        <w:tc>
          <w:tcPr>
            <w:tcW w:w="9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1,810</w:t>
            </w:r>
          </w:p>
        </w:tc>
        <w:tc>
          <w:tcPr>
            <w:tcW w:w="90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1,872</w:t>
            </w:r>
          </w:p>
        </w:tc>
        <w:tc>
          <w:tcPr>
            <w:tcW w:w="92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FFFF"/>
          </w:tcPr>
          <w:p>
            <w:pPr>
              <w:spacing w:after="0"/>
              <w:rPr>
                <w:sz w:val="17"/>
                <w:szCs w:val="17"/>
                <w:color w:val="auto"/>
              </w:rPr>
            </w:pPr>
          </w:p>
        </w:tc>
        <w:tc>
          <w:tcPr>
            <w:tcW w:w="68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7,504</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Impairments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Dry hole costs and leasehold impairments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Accretion on discounted liabilities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taxes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373</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495</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726</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Undistributed equity earnings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220</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(loss) on dispositions</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investment in Cenovus Energy</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41"/>
        </w:trPr>
        <w:tc>
          <w:tcPr>
            <w:tcW w:w="3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working capital changes</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(1,957)</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1,504</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auto"/>
            </w:tcBorders>
            <w:shd w:val="clear" w:color="auto" w:fill="CCFFFF"/>
          </w:tcPr>
          <w:p>
            <w:pPr>
              <w:spacing w:after="0"/>
              <w:rPr>
                <w:sz w:val="20"/>
                <w:szCs w:val="20"/>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194"/>
        </w:trPr>
        <w:tc>
          <w:tcPr>
            <w:tcW w:w="34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Operating</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shd w:val="clear" w:color="auto" w:fill="CCFFFF"/>
          </w:tcPr>
          <w:p>
            <w:pPr>
              <w:spacing w:after="0"/>
              <w:rPr>
                <w:sz w:val="16"/>
                <w:szCs w:val="16"/>
                <w:color w:val="auto"/>
              </w:rPr>
            </w:pPr>
          </w:p>
        </w:tc>
        <w:tc>
          <w:tcPr>
            <w:tcW w:w="680" w:type="dxa"/>
            <w:vAlign w:val="bottom"/>
            <w:shd w:val="clear" w:color="auto" w:fill="CCFFFF"/>
          </w:tcPr>
          <w:p>
            <w:pPr>
              <w:spacing w:after="0"/>
              <w:rPr>
                <w:sz w:val="16"/>
                <w:szCs w:val="16"/>
                <w:color w:val="auto"/>
              </w:rPr>
            </w:pPr>
          </w:p>
        </w:tc>
      </w:tr>
      <w:tr>
        <w:trPr>
          <w:trHeight w:val="245"/>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5,068</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7,914</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8,740</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Borders>
              <w:bottom w:val="single" w:sz="8" w:color="auto"/>
            </w:tcBorders>
            <w:shd w:val="clear" w:color="auto" w:fill="CCFFFF"/>
          </w:tcPr>
          <w:p>
            <w:pPr>
              <w:spacing w:after="0"/>
              <w:rPr>
                <w:sz w:val="21"/>
                <w:szCs w:val="21"/>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28,314</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80" w:type="dxa"/>
            <w:vAlign w:val="bottom"/>
            <w:shd w:val="clear" w:color="auto" w:fill="CCFFFF"/>
          </w:tcPr>
          <w:p>
            <w:pPr>
              <w:spacing w:after="0"/>
              <w:rPr>
                <w:sz w:val="24"/>
                <w:szCs w:val="24"/>
                <w:color w:val="auto"/>
              </w:rPr>
            </w:pPr>
          </w:p>
        </w:tc>
      </w:tr>
      <w:tr>
        <w:trPr>
          <w:trHeight w:val="198"/>
        </w:trPr>
        <w:tc>
          <w:tcPr>
            <w:tcW w:w="34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Capital expenditures and investments</w:t>
            </w:r>
          </w:p>
        </w:tc>
        <w:tc>
          <w:tcPr>
            <w:tcW w:w="8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(3,161)</w:t>
            </w:r>
          </w:p>
        </w:tc>
        <w:tc>
          <w:tcPr>
            <w:tcW w:w="9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(1,968)</w:t>
            </w:r>
          </w:p>
        </w:tc>
        <w:tc>
          <w:tcPr>
            <w:tcW w:w="9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FFFF"/>
          </w:tcPr>
          <w:p>
            <w:pPr>
              <w:spacing w:after="0"/>
              <w:rPr>
                <w:sz w:val="17"/>
                <w:szCs w:val="17"/>
                <w:color w:val="auto"/>
              </w:rPr>
            </w:pPr>
          </w:p>
        </w:tc>
        <w:tc>
          <w:tcPr>
            <w:tcW w:w="68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0"/>
              </w:rPr>
              <w:t>(10,159)</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Working capital changes associated with</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363</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3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Acquisition of businesses, net of cash</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Proceeds from asset dispositions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2,332</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619</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403</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(purchases) sales of investments</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Collection of advances/loans—related</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41"/>
        </w:trPr>
        <w:tc>
          <w:tcPr>
            <w:tcW w:w="3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CFFFF"/>
          </w:tcPr>
          <w:p>
            <w:pPr>
              <w:spacing w:after="0"/>
              <w:rPr>
                <w:sz w:val="20"/>
                <w:szCs w:val="20"/>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(611)</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(2,091)</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auto"/>
            </w:tcBorders>
            <w:shd w:val="clear" w:color="auto" w:fill="CCFFFF"/>
          </w:tcPr>
          <w:p>
            <w:pPr>
              <w:spacing w:after="0"/>
              <w:rPr>
                <w:sz w:val="19"/>
                <w:szCs w:val="19"/>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(8,741)</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80" w:type="dxa"/>
            <w:vAlign w:val="bottom"/>
            <w:shd w:val="clear" w:color="auto" w:fill="CCFFFF"/>
          </w:tcPr>
          <w:p>
            <w:pPr>
              <w:spacing w:after="0"/>
              <w:rPr>
                <w:sz w:val="24"/>
                <w:szCs w:val="24"/>
                <w:color w:val="auto"/>
              </w:rPr>
            </w:pPr>
          </w:p>
        </w:tc>
      </w:tr>
      <w:tr>
        <w:trPr>
          <w:trHeight w:val="198"/>
        </w:trPr>
        <w:tc>
          <w:tcPr>
            <w:tcW w:w="34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repayment of debt</w:t>
            </w:r>
          </w:p>
        </w:tc>
        <w:tc>
          <w:tcPr>
            <w:tcW w:w="8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(1,067)</w:t>
            </w:r>
          </w:p>
        </w:tc>
        <w:tc>
          <w:tcPr>
            <w:tcW w:w="9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(1,865)</w:t>
            </w:r>
          </w:p>
        </w:tc>
        <w:tc>
          <w:tcPr>
            <w:tcW w:w="9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9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FFFF"/>
          </w:tcPr>
          <w:p>
            <w:pPr>
              <w:spacing w:after="0"/>
              <w:rPr>
                <w:sz w:val="17"/>
                <w:szCs w:val="17"/>
                <w:color w:val="auto"/>
              </w:rPr>
            </w:pPr>
          </w:p>
        </w:tc>
        <w:tc>
          <w:tcPr>
            <w:tcW w:w="68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(3,370)</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Issuance of company common stock</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271</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Repurchase of company common stock</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(1,425)</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(2,300)</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(9,270)</w:t>
            </w:r>
          </w:p>
        </w:tc>
      </w:tr>
      <w:tr>
        <w:trPr>
          <w:trHeight w:val="216"/>
        </w:trPr>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Dividends paid</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(5,726)</w:t>
            </w:r>
          </w:p>
        </w:tc>
      </w:tr>
      <w:tr>
        <w:trPr>
          <w:trHeight w:val="241"/>
        </w:trPr>
        <w:tc>
          <w:tcPr>
            <w:tcW w:w="3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shd w:val="clear" w:color="auto" w:fill="CCFFFF"/>
          </w:tcPr>
          <w:p>
            <w:pPr>
              <w:spacing w:after="0"/>
              <w:rPr>
                <w:sz w:val="20"/>
                <w:szCs w:val="20"/>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(3,137)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(5,078)</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(4,330)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Borders>
              <w:bottom w:val="single" w:sz="8" w:color="auto"/>
            </w:tcBorders>
            <w:shd w:val="clear" w:color="auto" w:fill="CCFFFF"/>
          </w:tcPr>
          <w:p>
            <w:pPr>
              <w:spacing w:after="0"/>
              <w:rPr>
                <w:sz w:val="19"/>
                <w:szCs w:val="19"/>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w w:val="90"/>
              </w:rPr>
              <w:t>(18,053)</w:t>
            </w:r>
          </w:p>
        </w:tc>
      </w:tr>
      <w:tr>
        <w:trPr>
          <w:trHeight w:val="439"/>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(258)</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auto"/>
            </w:tcBorders>
            <w:shd w:val="clear" w:color="auto" w:fill="CCFFFF"/>
          </w:tcPr>
          <w:p>
            <w:pPr>
              <w:spacing w:after="0"/>
              <w:rPr>
                <w:sz w:val="24"/>
                <w:szCs w:val="24"/>
                <w:color w:val="auto"/>
              </w:rPr>
            </w:pPr>
          </w:p>
        </w:tc>
        <w:tc>
          <w:tcPr>
            <w:tcW w:w="68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41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80" w:type="dxa"/>
            <w:vAlign w:val="bottom"/>
            <w:shd w:val="clear" w:color="auto" w:fill="CCFFFF"/>
          </w:tcPr>
          <w:p>
            <w:pPr>
              <w:spacing w:after="0"/>
              <w:rPr>
                <w:sz w:val="24"/>
                <w:szCs w:val="24"/>
                <w:color w:val="auto"/>
              </w:rPr>
            </w:pPr>
          </w:p>
        </w:tc>
      </w:tr>
      <w:tr>
        <w:trPr>
          <w:trHeight w:val="23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1,341</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487</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FFFF"/>
          </w:tcPr>
          <w:p>
            <w:pPr>
              <w:spacing w:after="0"/>
              <w:rPr>
                <w:sz w:val="20"/>
                <w:szCs w:val="20"/>
                <w:color w:val="auto"/>
              </w:rPr>
            </w:pPr>
          </w:p>
        </w:tc>
        <w:tc>
          <w:tcPr>
            <w:tcW w:w="68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1,296</w:t>
            </w:r>
          </w:p>
        </w:tc>
      </w:tr>
      <w:tr>
        <w:trPr>
          <w:trHeight w:val="198"/>
        </w:trPr>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680" w:type="dxa"/>
            <w:vAlign w:val="bottom"/>
            <w:shd w:val="clear" w:color="auto" w:fill="CCFFFF"/>
          </w:tcPr>
          <w:p>
            <w:pPr>
              <w:spacing w:after="0"/>
              <w:rPr>
                <w:sz w:val="17"/>
                <w:szCs w:val="17"/>
                <w:color w:val="auto"/>
              </w:rPr>
            </w:pPr>
          </w:p>
        </w:tc>
      </w:tr>
      <w:tr>
        <w:trPr>
          <w:trHeight w:val="241"/>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5,398</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6,739</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7,226</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8,316</w:t>
            </w:r>
          </w:p>
        </w:tc>
        <w:tc>
          <w:tcPr>
            <w:tcW w:w="100" w:type="dxa"/>
            <w:vAlign w:val="bottom"/>
            <w:tcBorders>
              <w:bottom w:val="single" w:sz="8" w:color="auto"/>
            </w:tcBorders>
            <w:shd w:val="clear" w:color="auto" w:fill="CCFFFF"/>
          </w:tcPr>
          <w:p>
            <w:pPr>
              <w:spacing w:after="0"/>
              <w:rPr>
                <w:sz w:val="20"/>
                <w:szCs w:val="20"/>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5,398</w:t>
            </w:r>
          </w:p>
        </w:tc>
      </w:tr>
      <w:tr>
        <w:trPr>
          <w:trHeight w:val="194"/>
        </w:trPr>
        <w:tc>
          <w:tcPr>
            <w:tcW w:w="34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shd w:val="clear" w:color="auto" w:fill="CCFFFF"/>
          </w:tcPr>
          <w:p>
            <w:pPr>
              <w:spacing w:after="0"/>
              <w:rPr>
                <w:sz w:val="16"/>
                <w:szCs w:val="16"/>
                <w:color w:val="auto"/>
              </w:rPr>
            </w:pPr>
          </w:p>
        </w:tc>
        <w:tc>
          <w:tcPr>
            <w:tcW w:w="680" w:type="dxa"/>
            <w:vAlign w:val="bottom"/>
            <w:shd w:val="clear" w:color="auto" w:fill="CCFFFF"/>
          </w:tcPr>
          <w:p>
            <w:pPr>
              <w:spacing w:after="0"/>
              <w:rPr>
                <w:sz w:val="16"/>
                <w:szCs w:val="16"/>
                <w:color w:val="auto"/>
              </w:rPr>
            </w:pPr>
          </w:p>
        </w:tc>
      </w:tr>
      <w:tr>
        <w:trPr>
          <w:trHeight w:val="279"/>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at End of Period</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6,739</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7,226</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8,316</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auto"/>
            </w:tcBorders>
            <w:shd w:val="clear" w:color="auto" w:fill="CCFFFF"/>
          </w:tcPr>
          <w:p>
            <w:pPr>
              <w:spacing w:after="0"/>
              <w:rPr>
                <w:sz w:val="24"/>
                <w:szCs w:val="24"/>
                <w:color w:val="auto"/>
              </w:rPr>
            </w:pPr>
          </w:p>
        </w:tc>
        <w:tc>
          <w:tcPr>
            <w:tcW w:w="68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6,694</w:t>
            </w:r>
          </w:p>
        </w:tc>
      </w:tr>
      <w:tr>
        <w:trPr>
          <w:trHeight w:val="209"/>
        </w:trPr>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80" w:type="dxa"/>
            <w:vAlign w:val="bottom"/>
            <w:shd w:val="clear" w:color="auto" w:fill="CCFFFF"/>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-273685</wp:posOffset>
            </wp:positionV>
            <wp:extent cx="497205" cy="2928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7205" cy="2928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60" w:type="dxa"/>
            <w:vAlign w:val="bottom"/>
            <w:tcBorders>
              <w:top w:val="single" w:sz="8" w:color="auto"/>
            </w:tcBorders>
          </w:tcPr>
          <w:p>
            <w:pPr>
              <w:jc w:val="right"/>
              <w:ind w:right="73"/>
              <w:spacing w:after="0" w:line="201" w:lineRule="exact"/>
              <w:rPr>
                <w:sz w:val="20"/>
                <w:szCs w:val="20"/>
                <w:color w:val="auto"/>
              </w:rPr>
            </w:pPr>
            <w:r>
              <w:rPr>
                <w:rFonts w:ascii="Times New Roman" w:cs="Times New Roman" w:eastAsia="Times New Roman" w:hAnsi="Times New Roman"/>
                <w:sz w:val="18"/>
                <w:szCs w:val="18"/>
                <w:b w:val="1"/>
                <w:bCs w:val="1"/>
                <w:color w:val="auto"/>
              </w:rPr>
              <w:t>1st Qtr2nd</w:t>
            </w:r>
          </w:p>
        </w:tc>
        <w:tc>
          <w:tcPr>
            <w:tcW w:w="54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3rd</w:t>
            </w:r>
          </w:p>
        </w:tc>
        <w:tc>
          <w:tcPr>
            <w:tcW w:w="62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4th</w:t>
            </w:r>
          </w:p>
        </w:tc>
        <w:tc>
          <w:tcPr>
            <w:tcW w:w="680" w:type="dxa"/>
            <w:vAlign w:val="bottom"/>
            <w:tcBorders>
              <w:top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YTD</w:t>
            </w:r>
          </w:p>
        </w:tc>
      </w:tr>
      <w:tr>
        <w:trPr>
          <w:trHeight w:val="238"/>
        </w:trPr>
        <w:tc>
          <w:tcPr>
            <w:tcW w:w="146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Qtr</w:t>
            </w:r>
          </w:p>
        </w:tc>
        <w:tc>
          <w:tcPr>
            <w:tcW w:w="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-273685</wp:posOffset>
            </wp:positionV>
            <wp:extent cx="488315"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831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2540" w:type="dxa"/>
            <w:vAlign w:val="bottom"/>
            <w:tcBorders>
              <w:top w:val="single" w:sz="8" w:color="auto"/>
            </w:tcBorders>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top w:val="single" w:sz="8" w:color="auto"/>
            </w:tcBorders>
            <w:shd w:val="clear" w:color="auto" w:fill="CCFFFF"/>
          </w:tcPr>
          <w:p>
            <w:pPr>
              <w:spacing w:after="0"/>
              <w:rPr>
                <w:sz w:val="19"/>
                <w:szCs w:val="19"/>
                <w:color w:val="auto"/>
              </w:rPr>
            </w:pPr>
          </w:p>
        </w:tc>
        <w:tc>
          <w:tcPr>
            <w:tcW w:w="560" w:type="dxa"/>
            <w:vAlign w:val="bottom"/>
            <w:tcBorders>
              <w:top w:val="single" w:sz="8" w:color="auto"/>
            </w:tcBorders>
            <w:vMerge w:val="restart"/>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40" w:type="dxa"/>
            <w:vAlign w:val="bottom"/>
            <w:vMerge w:val="continue"/>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vMerge w:val="continue"/>
            <w:shd w:val="clear" w:color="auto" w:fill="CCFFFF"/>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40" w:type="dxa"/>
            <w:vAlign w:val="bottom"/>
          </w:tcPr>
          <w:p>
            <w:pPr>
              <w:jc w:val="right"/>
              <w:ind w:right="1790"/>
              <w:spacing w:after="0" w:line="198" w:lineRule="exact"/>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FFFF"/>
          </w:tcPr>
          <w:p>
            <w:pPr>
              <w:spacing w:after="0"/>
              <w:rPr>
                <w:sz w:val="17"/>
                <w:szCs w:val="17"/>
                <w:color w:val="auto"/>
              </w:rPr>
            </w:pPr>
          </w:p>
        </w:tc>
        <w:tc>
          <w:tcPr>
            <w:tcW w:w="56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Borders>
              <w:bottom w:val="single" w:sz="8" w:color="auto"/>
            </w:tcBorders>
            <w:shd w:val="clear" w:color="auto" w:fill="CCFFFF"/>
          </w:tcPr>
          <w:p>
            <w:pPr>
              <w:spacing w:after="0"/>
              <w:rPr>
                <w:sz w:val="24"/>
                <w:szCs w:val="24"/>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Borders>
              <w:bottom w:val="single" w:sz="8" w:color="auto"/>
            </w:tcBorders>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FFFF"/>
          </w:tcPr>
          <w:p>
            <w:pPr>
              <w:spacing w:after="0"/>
              <w:rPr>
                <w:sz w:val="20"/>
                <w:szCs w:val="20"/>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5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shd w:val="clear" w:color="auto" w:fill="CCFFFF"/>
          </w:tcPr>
          <w:p>
            <w:pPr>
              <w:spacing w:after="0"/>
              <w:rPr>
                <w:sz w:val="24"/>
                <w:szCs w:val="24"/>
                <w:color w:val="auto"/>
              </w:rPr>
            </w:pPr>
          </w:p>
        </w:tc>
        <w:tc>
          <w:tcPr>
            <w:tcW w:w="660" w:type="dxa"/>
            <w:vAlign w:val="bottom"/>
            <w:tcBorders>
              <w:bottom w:val="single" w:sz="8" w:color="auto"/>
            </w:tcBorders>
            <w:gridSpan w:val="2"/>
            <w:shd w:val="clear" w:color="auto" w:fill="CCFF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648"/>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auto"/>
            </w:tcBorders>
            <w:shd w:val="clear" w:color="auto" w:fill="CCFFFF"/>
          </w:tcPr>
          <w:p>
            <w:pPr>
              <w:spacing w:after="0"/>
              <w:rPr>
                <w:sz w:val="24"/>
                <w:szCs w:val="24"/>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auto"/>
            </w:tcBorders>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tcBorders>
              <w:bottom w:val="single" w:sz="8" w:color="auto"/>
            </w:tcBorders>
            <w:shd w:val="clear" w:color="auto" w:fill="CCFFFF"/>
          </w:tcPr>
          <w:p>
            <w:pPr>
              <w:spacing w:after="0"/>
              <w:rPr>
                <w:sz w:val="24"/>
                <w:szCs w:val="24"/>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tcBorders>
              <w:bottom w:val="single" w:sz="8" w:color="auto"/>
            </w:tcBorders>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2">
            <w:col w:w="7820" w:space="120"/>
            <w:col w:w="3300"/>
          </w:cols>
          <w:pgMar w:left="320" w:top="945" w:right="339" w:bottom="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CAPITAL EXPENDITURES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Alaska</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253</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218</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269</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351</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1,091</w:t>
            </w:r>
          </w:p>
        </w:tc>
      </w:tr>
      <w:tr>
        <w:trPr>
          <w:trHeight w:val="432"/>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Lower 48</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1,285</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1,773</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1,510</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5,630</w:t>
            </w:r>
          </w:p>
        </w:tc>
      </w:tr>
      <w:tr>
        <w:trPr>
          <w:trHeight w:val="432"/>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125</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135</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148</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432"/>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192</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467</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r>
      <w:tr>
        <w:trPr>
          <w:trHeight w:val="432"/>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1,538</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1,880</w:t>
            </w:r>
          </w:p>
        </w:tc>
      </w:tr>
      <w:tr>
        <w:trPr>
          <w:trHeight w:val="432"/>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International</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Corporate and Other</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194"/>
        </w:trPr>
        <w:tc>
          <w:tcPr>
            <w:tcW w:w="3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Capital Expenditures and</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3,161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1,968</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2,497</w:t>
            </w: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2,533</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10,159</w:t>
            </w: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60"/>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406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43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1,704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r>
      <w:tr>
        <w:trPr>
          <w:trHeight w:val="43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136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43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43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43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379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r>
      <w:tr>
        <w:trPr>
          <w:trHeight w:val="472"/>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2,897</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2,897</w:t>
            </w:r>
          </w:p>
        </w:tc>
      </w:tr>
    </w:tbl>
    <w:p>
      <w:pPr>
        <w:sectPr>
          <w:pgSz w:w="11900" w:h="16900" w:orient="portrait"/>
          <w:cols w:equalWidth="0" w:num="2">
            <w:col w:w="7820" w:space="120"/>
            <w:col w:w="3300"/>
          </w:cols>
          <w:pgMar w:left="320" w:top="945" w:right="339" w:bottom="0" w:gutter="0" w:footer="0" w:header="0"/>
          <w:type w:val="continuous"/>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5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5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100" w:type="dxa"/>
            <w:vAlign w:val="bottom"/>
            <w:shd w:val="clear" w:color="auto" w:fill="CCFFFF"/>
          </w:tcPr>
          <w:p>
            <w:pPr>
              <w:spacing w:after="0"/>
              <w:rPr>
                <w:sz w:val="20"/>
                <w:szCs w:val="20"/>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YTD</w:t>
            </w:r>
          </w:p>
        </w:tc>
        <w:tc>
          <w:tcPr>
            <w:tcW w:w="0" w:type="dxa"/>
            <w:vAlign w:val="bottom"/>
          </w:tcPr>
          <w:p>
            <w:pPr>
              <w:spacing w:after="0"/>
              <w:rPr>
                <w:sz w:val="1"/>
                <w:szCs w:val="1"/>
                <w:color w:val="auto"/>
              </w:rPr>
            </w:pPr>
          </w:p>
        </w:tc>
      </w:tr>
      <w:tr>
        <w:trPr>
          <w:trHeight w:val="201"/>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70C0"/>
              </w:rPr>
              <w:t>TOTAL SEGMENTS</w:t>
            </w: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shd w:val="clear" w:color="auto" w:fill="CCFFFF"/>
          </w:tcPr>
          <w:p>
            <w:pPr>
              <w:spacing w:after="0"/>
              <w:rPr>
                <w:sz w:val="17"/>
                <w:szCs w:val="17"/>
                <w:color w:val="auto"/>
              </w:rPr>
            </w:pPr>
          </w:p>
        </w:tc>
        <w:tc>
          <w:tcPr>
            <w:tcW w:w="660" w:type="dxa"/>
            <w:vAlign w:val="bottom"/>
            <w:tcBorders>
              <w:bottom w:val="single" w:sz="8" w:color="auto"/>
            </w:tcBorders>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(MBOED)</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1,747</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1,692</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41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Crude Oil (MBD)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857</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882</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915</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871</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895</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7"/>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Over (under) lifting of crude oil (MBD)</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shd w:val="clear" w:color="auto" w:fill="CCFFFF"/>
          </w:tcPr>
          <w:p>
            <w:pPr>
              <w:spacing w:after="0"/>
              <w:rPr>
                <w:sz w:val="18"/>
                <w:szCs w:val="18"/>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NGL (MBD)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216</w:t>
            </w:r>
          </w:p>
        </w:tc>
        <w:tc>
          <w:tcPr>
            <w:tcW w:w="9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236</w:t>
            </w:r>
          </w:p>
        </w:tc>
        <w:tc>
          <w:tcPr>
            <w:tcW w:w="9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263</w:t>
            </w:r>
          </w:p>
        </w:tc>
        <w:tc>
          <w:tcPr>
            <w:tcW w:w="9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223</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271</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42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Bitumen (MBD)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6"/>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(MMCFD)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2,126</w:t>
            </w:r>
          </w:p>
        </w:tc>
        <w:tc>
          <w:tcPr>
            <w:tcW w:w="9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1,872</w:t>
            </w:r>
          </w:p>
        </w:tc>
        <w:tc>
          <w:tcPr>
            <w:tcW w:w="9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1,899</w:t>
            </w:r>
          </w:p>
        </w:tc>
        <w:tc>
          <w:tcPr>
            <w:tcW w:w="9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1,127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1,235</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1,214</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3,253</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3,107</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3,113</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Borders>
              <w:bottom w:val="single" w:sz="8" w:color="auto"/>
            </w:tcBorders>
            <w:shd w:val="clear" w:color="auto" w:fill="CCFFFF"/>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425"/>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Industry Prices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Crude Oil ($/BBL)</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WTI</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94.29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108.41</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91.56</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82.64</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94.23</w:t>
            </w: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WCS</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79.76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95.71</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71.88</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76.02</w:t>
            </w: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Brent dated</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101.40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113.78</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100.85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101.19</w:t>
            </w:r>
          </w:p>
        </w:tc>
        <w:tc>
          <w:tcPr>
            <w:tcW w:w="0" w:type="dxa"/>
            <w:vAlign w:val="bottom"/>
          </w:tcPr>
          <w:p>
            <w:pPr>
              <w:spacing w:after="0"/>
              <w:rPr>
                <w:sz w:val="1"/>
                <w:szCs w:val="1"/>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JCC ($/BBL)</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80.43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86.09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110.97</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($/MMBTU)</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Henry Hub first of month</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7.17</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8.20</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1st Qtr</w:t>
            </w:r>
          </w:p>
        </w:tc>
        <w:tc>
          <w:tcPr>
            <w:tcW w:w="60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2nd</w:t>
            </w:r>
          </w:p>
        </w:tc>
        <w:tc>
          <w:tcPr>
            <w:tcW w:w="54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3rd</w:t>
            </w:r>
          </w:p>
        </w:tc>
        <w:tc>
          <w:tcPr>
            <w:tcW w:w="54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4th</w:t>
            </w:r>
          </w:p>
        </w:tc>
        <w:tc>
          <w:tcPr>
            <w:tcW w:w="100" w:type="dxa"/>
            <w:vAlign w:val="bottom"/>
            <w:tcBorders>
              <w:top w:val="single" w:sz="8" w:color="auto"/>
            </w:tcBorders>
            <w:shd w:val="clear" w:color="auto" w:fill="CCFFFF"/>
          </w:tcPr>
          <w:p>
            <w:pPr>
              <w:spacing w:after="0"/>
              <w:rPr>
                <w:sz w:val="17"/>
                <w:szCs w:val="17"/>
                <w:color w:val="auto"/>
              </w:rPr>
            </w:pPr>
          </w:p>
        </w:tc>
        <w:tc>
          <w:tcPr>
            <w:tcW w:w="660" w:type="dxa"/>
            <w:vAlign w:val="bottom"/>
            <w:tcBorders>
              <w:top w:val="single" w:sz="8" w:color="auto"/>
            </w:tcBorders>
            <w:gridSpan w:val="2"/>
            <w:shd w:val="clear" w:color="auto" w:fill="CCFFFF"/>
          </w:tcPr>
          <w:p>
            <w:pPr>
              <w:jc w:val="right"/>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YTD</w:t>
            </w:r>
          </w:p>
        </w:tc>
        <w:tc>
          <w:tcPr>
            <w:tcW w:w="0" w:type="dxa"/>
            <w:vAlign w:val="bottom"/>
          </w:tcPr>
          <w:p>
            <w:pPr>
              <w:spacing w:after="0"/>
              <w:rPr>
                <w:sz w:val="1"/>
                <w:szCs w:val="1"/>
                <w:color w:val="auto"/>
              </w:rPr>
            </w:pPr>
          </w:p>
        </w:tc>
      </w:tr>
      <w:tr>
        <w:trPr>
          <w:trHeight w:val="245"/>
        </w:trPr>
        <w:tc>
          <w:tcPr>
            <w:tcW w:w="8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Qtr</w:t>
            </w:r>
          </w:p>
        </w:tc>
        <w:tc>
          <w:tcPr>
            <w:tcW w:w="100" w:type="dxa"/>
            <w:vAlign w:val="bottom"/>
            <w:tcBorders>
              <w:bottom w:val="single" w:sz="8" w:color="auto"/>
            </w:tcBorders>
            <w:shd w:val="clear" w:color="auto" w:fill="CCFFFF"/>
          </w:tcPr>
          <w:p>
            <w:pPr>
              <w:spacing w:after="0"/>
              <w:rPr>
                <w:sz w:val="21"/>
                <w:szCs w:val="21"/>
                <w:color w:val="auto"/>
              </w:rPr>
            </w:pPr>
          </w:p>
        </w:tc>
        <w:tc>
          <w:tcPr>
            <w:tcW w:w="560" w:type="dxa"/>
            <w:vAlign w:val="bottom"/>
            <w:tcBorders>
              <w:bottom w:val="single" w:sz="8" w:color="auto"/>
            </w:tcBorders>
            <w:shd w:val="clear" w:color="auto" w:fill="CCFFFF"/>
          </w:tcPr>
          <w:p>
            <w:pPr>
              <w:spacing w:after="0"/>
              <w:rPr>
                <w:sz w:val="21"/>
                <w:szCs w:val="21"/>
                <w:color w:val="auto"/>
              </w:rPr>
            </w:pPr>
          </w:p>
        </w:tc>
        <w:tc>
          <w:tcPr>
            <w:tcW w:w="100" w:type="dxa"/>
            <w:vAlign w:val="bottom"/>
            <w:tcBorders>
              <w:bottom w:val="single" w:sz="8" w:color="auto"/>
            </w:tcBorders>
            <w:shd w:val="clear" w:color="auto" w:fill="CC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1,792</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60" w:type="dxa"/>
            <w:vAlign w:val="bottom"/>
            <w:vMerge w:val="restart"/>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8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vMerge w:val="continue"/>
            <w:shd w:val="clear" w:color="auto" w:fill="CCFF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926</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937</w:t>
            </w: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CFFFF"/>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30"/>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264</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271</w:t>
            </w: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CCFFFF"/>
          </w:tcPr>
          <w:p>
            <w:pPr>
              <w:spacing w:after="0"/>
              <w:rPr>
                <w:sz w:val="24"/>
                <w:szCs w:val="24"/>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623"/>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1,922</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1,166</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3,088</w:t>
            </w: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839"/>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76.13</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51.31</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81.27</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100.49</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3.44</w:t>
            </w: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CCFFFF"/>
          </w:tcPr>
          <w:p>
            <w:pPr>
              <w:spacing w:after="0"/>
              <w:rPr>
                <w:sz w:val="24"/>
                <w:szCs w:val="24"/>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auto"/>
            </w:tcBorders>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-5039995</wp:posOffset>
            </wp:positionV>
            <wp:extent cx="420370" cy="1440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0370" cy="1440180"/>
                    </a:xfrm>
                    <a:prstGeom prst="rect">
                      <a:avLst/>
                    </a:prstGeom>
                    <a:noFill/>
                  </pic:spPr>
                </pic:pic>
              </a:graphicData>
            </a:graphic>
          </wp:anchor>
        </w:drawing>
      </w:r>
    </w:p>
    <w:p>
      <w:pPr>
        <w:spacing w:after="0" w:line="1" w:lineRule="exact"/>
        <w:rPr>
          <w:sz w:val="20"/>
          <w:szCs w:val="20"/>
          <w:color w:val="auto"/>
        </w:rPr>
      </w:pPr>
    </w:p>
    <w:p>
      <w:pPr>
        <w:sectPr>
          <w:pgSz w:w="11900" w:h="16900" w:orient="portrait"/>
          <w:cols w:equalWidth="0" w:num="2">
            <w:col w:w="7820" w:space="120"/>
            <w:col w:w="3300"/>
          </w:cols>
          <w:pgMar w:left="320" w:top="945" w:right="339" w:bottom="0" w:gutter="0" w:footer="0" w:header="0"/>
        </w:sectPr>
      </w:pPr>
    </w:p>
    <w:tbl>
      <w:tblPr>
        <w:tblLayout w:type="fixed"/>
        <w:tblInd w:w="0" w:type="dxa"/>
        <w:tblCellMar>
          <w:top w:w="0" w:type="dxa"/>
          <w:left w:w="0" w:type="dxa"/>
          <w:bottom w:w="0" w:type="dxa"/>
          <w:right w:w="0" w:type="dxa"/>
        </w:tblCellMar>
      </w:tblP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Average Realized Prices</w:t>
            </w: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spacing w:after="0"/>
              <w:rPr>
                <w:sz w:val="17"/>
                <w:szCs w:val="17"/>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 ($/BBL)</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76.99</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88.57</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83.07</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shd w:val="clear" w:color="auto" w:fill="CCFFFF"/>
          </w:tcPr>
          <w:p>
            <w:pPr>
              <w:spacing w:after="0"/>
              <w:rPr>
                <w:sz w:val="20"/>
                <w:szCs w:val="20"/>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79.82</w:t>
            </w: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Crude Oil ($/BBL)</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operations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94.79</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111.49</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97.60</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97.23</w:t>
            </w:r>
          </w:p>
        </w:tc>
      </w:tr>
      <w:tr>
        <w:trPr>
          <w:trHeight w:val="241"/>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97.20</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111.97</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94.58</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83.64</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97.31</w:t>
            </w:r>
          </w:p>
        </w:tc>
      </w:tr>
      <w:tr>
        <w:trPr>
          <w:trHeight w:val="223"/>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94.82</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111.50</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97.56</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85.58</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97.23</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NGL ($/BBL)</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r>
      <w:tr>
        <w:trPr>
          <w:trHeight w:val="198"/>
        </w:trPr>
        <w:tc>
          <w:tcPr>
            <w:tcW w:w="2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156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40.95</w:t>
            </w:r>
          </w:p>
        </w:tc>
        <w:tc>
          <w:tcPr>
            <w:tcW w:w="96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42.20</w:t>
            </w:r>
          </w:p>
        </w:tc>
        <w:tc>
          <w:tcPr>
            <w:tcW w:w="92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34.83</w:t>
            </w:r>
          </w:p>
        </w:tc>
        <w:tc>
          <w:tcPr>
            <w:tcW w:w="8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35.67</w:t>
            </w:r>
          </w:p>
        </w:tc>
      </w:tr>
      <w:tr>
        <w:trPr>
          <w:trHeight w:val="241"/>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67.04</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72.44</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55.51</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61.22</w:t>
            </w:r>
          </w:p>
        </w:tc>
      </w:tr>
      <w:tr>
        <w:trPr>
          <w:trHeight w:val="223"/>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41.80</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43.26</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35.47</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Bitumen ($/BBL)</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r>
      <w:tr>
        <w:trPr>
          <w:trHeight w:val="223"/>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Consolidated operations</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65.86</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75.42</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49.77</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r>
      <w:tr>
        <w:trPr>
          <w:trHeight w:val="223"/>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65.86</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75.42</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49.77</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spacing w:after="0"/>
              <w:rPr>
                <w:sz w:val="24"/>
                <w:szCs w:val="24"/>
                <w:color w:val="auto"/>
              </w:rPr>
            </w:pPr>
          </w:p>
        </w:tc>
      </w:tr>
      <w:tr>
        <w:trPr>
          <w:trHeight w:val="198"/>
        </w:trPr>
        <w:tc>
          <w:tcPr>
            <w:tcW w:w="2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156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8.81</w:t>
            </w:r>
          </w:p>
        </w:tc>
        <w:tc>
          <w:tcPr>
            <w:tcW w:w="96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92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14.14</w:t>
            </w:r>
          </w:p>
        </w:tc>
        <w:tc>
          <w:tcPr>
            <w:tcW w:w="8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FFFF"/>
          </w:tcPr>
          <w:p>
            <w:pPr>
              <w:spacing w:after="0"/>
              <w:rPr>
                <w:sz w:val="17"/>
                <w:szCs w:val="17"/>
                <w:color w:val="auto"/>
              </w:rPr>
            </w:pPr>
          </w:p>
        </w:tc>
        <w:tc>
          <w:tcPr>
            <w:tcW w:w="6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10.56</w:t>
            </w:r>
          </w:p>
        </w:tc>
      </w:tr>
      <w:tr>
        <w:trPr>
          <w:trHeight w:val="241"/>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8.86</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10.08</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11.37</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r>
      <w:tr>
        <w:trPr>
          <w:trHeight w:val="223"/>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8.83</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10.15</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13.04</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2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2"/>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60.86</w:t>
            </w:r>
          </w:p>
        </w:tc>
      </w:tr>
      <w:tr>
        <w:trPr>
          <w:trHeight w:val="630"/>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77.60</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80.97</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77.65</w:t>
            </w:r>
          </w:p>
        </w:tc>
      </w:tr>
      <w:tr>
        <w:trPr>
          <w:trHeight w:val="630"/>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24.97</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57.71</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25.84</w:t>
            </w:r>
          </w:p>
        </w:tc>
      </w:tr>
      <w:tr>
        <w:trPr>
          <w:trHeight w:val="655"/>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auto"/>
            </w:tcBorders>
            <w:shd w:val="clear" w:color="auto" w:fill="CCFFFF"/>
          </w:tcPr>
          <w:p>
            <w:pPr>
              <w:spacing w:after="0"/>
              <w:rPr>
                <w:sz w:val="24"/>
                <w:szCs w:val="24"/>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29.49</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29.49</w:t>
            </w:r>
          </w:p>
        </w:tc>
      </w:tr>
      <w:tr>
        <w:trPr>
          <w:trHeight w:val="630"/>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FFFF"/>
          </w:tcPr>
          <w:p>
            <w:pPr>
              <w:spacing w:after="0"/>
              <w:rPr>
                <w:sz w:val="24"/>
                <w:szCs w:val="24"/>
                <w:color w:val="auto"/>
              </w:rPr>
            </w:pPr>
          </w:p>
        </w:tc>
        <w:tc>
          <w:tcPr>
            <w:tcW w:w="6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auto"/>
            </w:tcBorders>
            <w:shd w:val="clear" w:color="auto" w:fill="CCFFFF"/>
          </w:tcPr>
          <w:p>
            <w:pPr>
              <w:spacing w:after="0"/>
              <w:rPr>
                <w:sz w:val="20"/>
                <w:szCs w:val="20"/>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auto"/>
            </w:tcBorders>
            <w:shd w:val="clear" w:color="auto" w:fill="CCFFFF"/>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2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bl>
    <w:p>
      <w:pPr>
        <w:spacing w:after="0" w:line="1" w:lineRule="exact"/>
        <w:rPr>
          <w:sz w:val="20"/>
          <w:szCs w:val="20"/>
          <w:color w:val="auto"/>
        </w:rPr>
      </w:pPr>
    </w:p>
    <w:p>
      <w:pPr>
        <w:sectPr>
          <w:pgSz w:w="11900" w:h="16900" w:orient="portrait"/>
          <w:cols w:equalWidth="0" w:num="2">
            <w:col w:w="7820" w:space="120"/>
            <w:col w:w="3300"/>
          </w:cols>
          <w:pgMar w:left="320" w:top="945" w:right="33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Exploration Expenses ($ Millions)</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Dry holes</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49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4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impairment</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noncash expenses</w:t>
            </w: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97</w:t>
            </w:r>
          </w:p>
        </w:tc>
        <w:tc>
          <w:tcPr>
            <w:tcW w:w="8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760" w:type="dxa"/>
            <w:vAlign w:val="bottom"/>
            <w:tcBorders>
              <w:top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2540" w:type="dxa"/>
            <w:vAlign w:val="bottom"/>
            <w:tcBorders>
              <w:top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tcBorders>
              <w:top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(G&amp;A, G&amp;G and lease rentals)</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26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56"/>
        </w:trPr>
        <w:tc>
          <w:tcPr>
            <w:tcW w:w="3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exploration expenses</w:t>
            </w: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69</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143</w:t>
            </w: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89</w:t>
            </w: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2"/>
                <w:szCs w:val="22"/>
                <w:color w:val="auto"/>
              </w:rPr>
            </w:pPr>
          </w:p>
        </w:tc>
        <w:tc>
          <w:tcPr>
            <w:tcW w:w="2540" w:type="dxa"/>
            <w:vAlign w:val="bottom"/>
            <w:tcBorders>
              <w:top w:val="single" w:sz="8" w:color="auto"/>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138</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86"/>
        </w:trPr>
        <w:tc>
          <w:tcPr>
            <w:tcW w:w="3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r>
    </w:tbl>
    <w:p>
      <w:pPr>
        <w:sectPr>
          <w:pgSz w:w="11900" w:h="16900" w:orient="portrait"/>
          <w:cols w:equalWidth="0" w:num="1">
            <w:col w:w="11240"/>
          </w:cols>
          <w:pgMar w:left="320" w:top="945" w:right="339" w:bottom="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exploration expenses</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International exploration expenses</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r>
      <w:tr>
        <w:trPr>
          <w:trHeight w:val="6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DD&amp;A ($ Millions)</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r>
      <w:tr>
        <w:trPr>
          <w:trHeight w:val="216"/>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Alaska</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226</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234</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232</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Lower 48</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1,168</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1,192</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1,198</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1,307</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4,865</w:t>
            </w: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96</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157</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124</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140</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International</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Corporate and Other</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57"/>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DD&amp;A</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1,823</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1,810</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1,872</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1,999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108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84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260</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1,319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1,319</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91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153</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113</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1,942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r>
    </w:tbl>
    <w:p>
      <w:pPr>
        <w:sectPr>
          <w:pgSz w:w="11900" w:h="16838" w:orient="portrait"/>
          <w:cols w:equalWidth="0" w:num="2">
            <w:col w:w="7820" w:space="120"/>
            <w:col w:w="3300"/>
          </w:cols>
          <w:pgMar w:left="320" w:top="140" w:right="3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6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60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4"/>
        </w:trPr>
        <w:tc>
          <w:tcPr>
            <w:tcW w:w="3400" w:type="dxa"/>
            <w:vAlign w:val="bottom"/>
          </w:tcPr>
          <w:p>
            <w:pPr>
              <w:spacing w:after="0"/>
              <w:rPr>
                <w:sz w:val="16"/>
                <w:szCs w:val="16"/>
                <w:color w:val="auto"/>
              </w:rPr>
            </w:pPr>
          </w:p>
        </w:tc>
        <w:tc>
          <w:tcPr>
            <w:tcW w:w="8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1st Qtr</w:t>
            </w:r>
          </w:p>
        </w:tc>
        <w:tc>
          <w:tcPr>
            <w:tcW w:w="9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2nd Qtr</w:t>
            </w:r>
          </w:p>
        </w:tc>
        <w:tc>
          <w:tcPr>
            <w:tcW w:w="92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3rd Qtr</w:t>
            </w:r>
          </w:p>
        </w:tc>
        <w:tc>
          <w:tcPr>
            <w:tcW w:w="96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4th Qtr</w:t>
            </w:r>
          </w:p>
        </w:tc>
        <w:tc>
          <w:tcPr>
            <w:tcW w:w="760" w:type="dxa"/>
            <w:vAlign w:val="bottom"/>
            <w:shd w:val="clear" w:color="auto" w:fill="CCFFFF"/>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YTD</w:t>
            </w:r>
          </w:p>
        </w:tc>
        <w:tc>
          <w:tcPr>
            <w:tcW w:w="120" w:type="dxa"/>
            <w:vAlign w:val="bottom"/>
          </w:tcPr>
          <w:p>
            <w:pPr>
              <w:spacing w:after="0"/>
              <w:rPr>
                <w:sz w:val="16"/>
                <w:szCs w:val="16"/>
                <w:color w:val="auto"/>
              </w:rPr>
            </w:pPr>
          </w:p>
        </w:tc>
        <w:tc>
          <w:tcPr>
            <w:tcW w:w="84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1st Qtr</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2nd</w:t>
            </w:r>
          </w:p>
        </w:tc>
        <w:tc>
          <w:tcPr>
            <w:tcW w:w="6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3rd</w:t>
            </w:r>
          </w:p>
        </w:tc>
        <w:tc>
          <w:tcPr>
            <w:tcW w:w="5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4th</w:t>
            </w:r>
          </w:p>
        </w:tc>
        <w:tc>
          <w:tcPr>
            <w:tcW w:w="760" w:type="dxa"/>
            <w:vAlign w:val="bottom"/>
            <w:shd w:val="clear" w:color="auto" w:fill="CCFFFF"/>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YTD</w:t>
            </w:r>
          </w:p>
        </w:tc>
      </w:tr>
      <w:tr>
        <w:trPr>
          <w:trHeight w:val="245"/>
        </w:trPr>
        <w:tc>
          <w:tcPr>
            <w:tcW w:w="34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shd w:val="clear" w:color="auto" w:fill="CCFFFF"/>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Qtr</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Qtr</w:t>
            </w:r>
          </w:p>
        </w:tc>
        <w:tc>
          <w:tcPr>
            <w:tcW w:w="760" w:type="dxa"/>
            <w:vAlign w:val="bottom"/>
            <w:tcBorders>
              <w:bottom w:val="single" w:sz="8" w:color="auto"/>
            </w:tcBorders>
            <w:shd w:val="clear" w:color="auto" w:fill="CCFFFF"/>
          </w:tcPr>
          <w:p>
            <w:pPr>
              <w:spacing w:after="0"/>
              <w:rPr>
                <w:sz w:val="21"/>
                <w:szCs w:val="2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PRODUCTION</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6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Crude Oil (MBD)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r>
      <w:tr>
        <w:trPr>
          <w:trHeight w:val="234"/>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shd w:val="clear" w:color="auto" w:fill="CCFFFF"/>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shd w:val="clear" w:color="auto" w:fill="CCFFFF"/>
          </w:tcPr>
          <w:p>
            <w:pPr>
              <w:spacing w:after="0"/>
              <w:rPr>
                <w:sz w:val="20"/>
                <w:szCs w:val="20"/>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Alaska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177</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198"/>
        </w:trPr>
        <w:tc>
          <w:tcPr>
            <w:tcW w:w="3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Lower 48</w:t>
            </w:r>
          </w:p>
        </w:tc>
        <w:tc>
          <w:tcPr>
            <w:tcW w:w="8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538</w:t>
            </w:r>
          </w:p>
        </w:tc>
        <w:tc>
          <w:tcPr>
            <w:tcW w:w="9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528</w:t>
            </w:r>
          </w:p>
        </w:tc>
        <w:tc>
          <w:tcPr>
            <w:tcW w:w="9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537</w:t>
            </w:r>
          </w:p>
        </w:tc>
        <w:tc>
          <w:tcPr>
            <w:tcW w:w="9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534</w:t>
            </w:r>
          </w:p>
        </w:tc>
        <w:tc>
          <w:tcPr>
            <w:tcW w:w="7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534</w:t>
            </w:r>
          </w:p>
        </w:tc>
        <w:tc>
          <w:tcPr>
            <w:tcW w:w="960" w:type="dxa"/>
            <w:vAlign w:val="bottom"/>
            <w:gridSpan w:val="2"/>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561</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561</w:t>
            </w: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Norway</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41"/>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Libya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3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223"/>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Malaysia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consolidated operations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903</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857</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882</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926</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56"/>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915</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871</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895</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937</w:t>
            </w:r>
          </w:p>
        </w:tc>
        <w:tc>
          <w:tcPr>
            <w:tcW w:w="5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42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NGL (MBD)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r>
      <w:tr>
        <w:trPr>
          <w:trHeight w:val="198"/>
        </w:trPr>
        <w:tc>
          <w:tcPr>
            <w:tcW w:w="3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Alaska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Lower 48</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241</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1"/>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Norway</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consolidated operations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236</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263</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264</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56"/>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223</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271</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271</w:t>
            </w:r>
          </w:p>
        </w:tc>
        <w:tc>
          <w:tcPr>
            <w:tcW w:w="5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r>
      <w:tr>
        <w:trPr>
          <w:trHeight w:val="210"/>
        </w:trPr>
        <w:tc>
          <w:tcPr>
            <w:tcW w:w="3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-136525</wp:posOffset>
            </wp:positionV>
            <wp:extent cx="68580" cy="737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73723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-136525</wp:posOffset>
            </wp:positionV>
            <wp:extent cx="68580" cy="737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737235"/>
                    </a:xfrm>
                    <a:prstGeom prst="rect">
                      <a:avLst/>
                    </a:prstGeom>
                    <a:noFill/>
                  </pic:spPr>
                </pic:pic>
              </a:graphicData>
            </a:graphic>
          </wp:anchor>
        </w:drawing>
      </w:r>
    </w:p>
    <w:p>
      <w:pPr>
        <w:sectPr>
          <w:pgSz w:w="11900" w:h="16838" w:orient="portrait"/>
          <w:cols w:equalWidth="0" w:num="1">
            <w:col w:w="11240"/>
          </w:cols>
          <w:pgMar w:left="320" w:top="945" w:right="339" w:bottom="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Bitumen (MBD)</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r>
        <w:trPr>
          <w:trHeight w:val="223"/>
        </w:trPr>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56"/>
        </w:trPr>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2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56"/>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2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60" w:type="dxa"/>
            <w:vAlign w:val="bottom"/>
            <w:shd w:val="clear" w:color="auto" w:fill="CCFF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2">
            <w:col w:w="7820" w:space="120"/>
            <w:col w:w="3300"/>
          </w:cols>
          <w:pgMar w:left="320" w:top="945" w:right="3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Natural Gas (MMCFD)</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198"/>
        </w:trPr>
        <w:tc>
          <w:tcPr>
            <w:tcW w:w="3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Alaska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Lower 48</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1,426</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1,411</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1,410</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1,362</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Norway</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308</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284</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312</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317</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41"/>
        </w:trPr>
        <w:tc>
          <w:tcPr>
            <w:tcW w:w="3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Libya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306</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343</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194</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3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Malaysia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consolidated operations</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2,126</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1,872</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1,899</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1,862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1,939</w:t>
            </w:r>
          </w:p>
        </w:tc>
      </w:tr>
      <w:tr>
        <w:trPr>
          <w:trHeight w:val="223"/>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1,127</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1,235</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1,214</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1,184</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1,191</w:t>
            </w:r>
          </w:p>
        </w:tc>
      </w:tr>
      <w:tr>
        <w:trPr>
          <w:trHeight w:val="256"/>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3,253</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3,107</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3,113</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3,046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r>
      <w:tr>
        <w:trPr>
          <w:trHeight w:val="210"/>
        </w:trPr>
        <w:tc>
          <w:tcPr>
            <w:tcW w:w="3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10"/>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1,418</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313</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342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56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56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1,922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1,922</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1,166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r>
      <w:tr>
        <w:trPr>
          <w:trHeight w:val="256"/>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3,088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3,088</w:t>
            </w:r>
          </w:p>
        </w:tc>
      </w:tr>
      <w:tr>
        <w:trPr>
          <w:trHeight w:val="210"/>
        </w:trPr>
        <w:tc>
          <w:tcPr>
            <w:tcW w:w="254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2">
            <w:col w:w="7820" w:space="120"/>
            <w:col w:w="3300"/>
          </w:cols>
          <w:pgMar w:left="320" w:top="945" w:right="3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(MBOED)</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198"/>
        </w:trPr>
        <w:tc>
          <w:tcPr>
            <w:tcW w:w="3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Alaska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206</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199</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Lower 48</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967</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977</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1,013</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Norway</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131</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133</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41"/>
        </w:trPr>
        <w:tc>
          <w:tcPr>
            <w:tcW w:w="3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Libya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172</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144</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166</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Malaysia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109</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76</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consolidated operations</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1,540</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1,464</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1,530</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1,540</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r>
      <w:tr>
        <w:trPr>
          <w:trHeight w:val="223"/>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207</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228</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224</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256"/>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1,747</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1,692</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1,754</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1,758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10"/>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1,036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126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52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178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1,579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213</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56"/>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1,792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1,792</w:t>
            </w:r>
          </w:p>
        </w:tc>
      </w:tr>
    </w:tbl>
    <w:p>
      <w:pPr>
        <w:sectPr>
          <w:pgSz w:w="11900" w:h="16838" w:orient="portrait"/>
          <w:cols w:equalWidth="0" w:num="2">
            <w:col w:w="7820" w:space="120"/>
            <w:col w:w="3300"/>
          </w:cols>
          <w:pgMar w:left="320" w:top="945" w:right="339" w:bottom="0" w:gutter="0" w:footer="0" w:header="0"/>
          <w:type w:val="continuous"/>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YTD</w:t>
            </w:r>
          </w:p>
        </w:tc>
        <w:tc>
          <w:tcPr>
            <w:tcW w:w="0" w:type="dxa"/>
            <w:vAlign w:val="bottom"/>
          </w:tcPr>
          <w:p>
            <w:pPr>
              <w:spacing w:after="0"/>
              <w:rPr>
                <w:sz w:val="1"/>
                <w:szCs w:val="1"/>
                <w:color w:val="auto"/>
              </w:rPr>
            </w:pPr>
          </w:p>
        </w:tc>
      </w:tr>
      <w:tr>
        <w:trPr>
          <w:trHeight w:val="201"/>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70C0"/>
              </w:rPr>
              <w:t>AVERAGE REALIZED PRICES</w:t>
            </w: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6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Crude Oil ($/BBL)</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Alaska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95.54</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114.77</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103.90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91.34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101.72</w:t>
            </w:r>
          </w:p>
        </w:tc>
        <w:tc>
          <w:tcPr>
            <w:tcW w:w="0" w:type="dxa"/>
            <w:vAlign w:val="bottom"/>
          </w:tcPr>
          <w:p>
            <w:pPr>
              <w:spacing w:after="0"/>
              <w:rPr>
                <w:sz w:val="1"/>
                <w:szCs w:val="1"/>
                <w:color w:val="auto"/>
              </w:rPr>
            </w:pPr>
          </w:p>
        </w:tc>
      </w:tr>
      <w:tr>
        <w:trPr>
          <w:trHeight w:val="198"/>
        </w:trPr>
        <w:tc>
          <w:tcPr>
            <w:tcW w:w="3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Lower 48</w:t>
            </w:r>
          </w:p>
        </w:tc>
        <w:tc>
          <w:tcPr>
            <w:tcW w:w="8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93.55</w:t>
            </w:r>
          </w:p>
        </w:tc>
        <w:tc>
          <w:tcPr>
            <w:tcW w:w="9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109.14</w:t>
            </w:r>
          </w:p>
        </w:tc>
        <w:tc>
          <w:tcPr>
            <w:tcW w:w="9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93.19</w:t>
            </w:r>
          </w:p>
        </w:tc>
        <w:tc>
          <w:tcPr>
            <w:tcW w:w="9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82.28</w:t>
            </w:r>
          </w:p>
        </w:tc>
        <w:tc>
          <w:tcPr>
            <w:tcW w:w="760" w:type="dxa"/>
            <w:vAlign w:val="bottom"/>
            <w:shd w:val="clear" w:color="auto" w:fill="CCFF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82.13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94.79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71.11</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73.62</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79.94</w:t>
            </w:r>
          </w:p>
        </w:tc>
        <w:tc>
          <w:tcPr>
            <w:tcW w:w="0" w:type="dxa"/>
            <w:vAlign w:val="bottom"/>
          </w:tcPr>
          <w:p>
            <w:pPr>
              <w:spacing w:after="0"/>
              <w:rPr>
                <w:sz w:val="1"/>
                <w:szCs w:val="1"/>
                <w:color w:val="auto"/>
              </w:rPr>
            </w:pPr>
          </w:p>
        </w:tc>
      </w:tr>
      <w:tr>
        <w:trPr>
          <w:trHeight w:val="216"/>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Norway</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92.18</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116.93</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104.10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89.96</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99.88</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Libya</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99.92</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113.03</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98.55</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87.39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94.68</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115.61</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102.70</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88.86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99.20</w:t>
            </w:r>
          </w:p>
        </w:tc>
        <w:tc>
          <w:tcPr>
            <w:tcW w:w="0" w:type="dxa"/>
            <w:vAlign w:val="bottom"/>
          </w:tcPr>
          <w:p>
            <w:pPr>
              <w:spacing w:after="0"/>
              <w:rPr>
                <w:sz w:val="1"/>
                <w:szCs w:val="1"/>
                <w:color w:val="auto"/>
              </w:rPr>
            </w:pPr>
          </w:p>
        </w:tc>
      </w:tr>
      <w:tr>
        <w:trPr>
          <w:trHeight w:val="216"/>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105.75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115.00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101.95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88.21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101.87</w:t>
            </w:r>
          </w:p>
        </w:tc>
        <w:tc>
          <w:tcPr>
            <w:tcW w:w="0" w:type="dxa"/>
            <w:vAlign w:val="bottom"/>
          </w:tcPr>
          <w:p>
            <w:pPr>
              <w:spacing w:after="0"/>
              <w:rPr>
                <w:sz w:val="1"/>
                <w:szCs w:val="1"/>
                <w:color w:val="auto"/>
              </w:rPr>
            </w:pPr>
          </w:p>
        </w:tc>
      </w:tr>
      <w:tr>
        <w:trPr>
          <w:trHeight w:val="216"/>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77.09</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77.09</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Malaysia</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104.88</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119.26</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115.94</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98.90</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109.42</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104.84</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117.14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108.99</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93.29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105.52</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consolidated operations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94.79</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111.49</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97.60</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85.61</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97.23</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97.20</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111.97</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94.58</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83.64</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97.31</w:t>
            </w:r>
          </w:p>
        </w:tc>
        <w:tc>
          <w:tcPr>
            <w:tcW w:w="0" w:type="dxa"/>
            <w:vAlign w:val="bottom"/>
          </w:tcPr>
          <w:p>
            <w:pPr>
              <w:spacing w:after="0"/>
              <w:rPr>
                <w:sz w:val="1"/>
                <w:szCs w:val="1"/>
                <w:color w:val="auto"/>
              </w:rPr>
            </w:pPr>
          </w:p>
        </w:tc>
      </w:tr>
      <w:tr>
        <w:trPr>
          <w:trHeight w:val="256"/>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94.82</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111.50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97.56</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85.58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97.23</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NGL ($/BBL)</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Lower 48</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40.42</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34.59</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26.21</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41.83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44.93</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29.62</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34.08</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Norway</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58.67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68.00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51.67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40.72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54.52</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58.67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68.00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51.67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40.72</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54.52</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consolidated operations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40.95</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42.20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34.83</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26.46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67.04</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72.44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55.51</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50.61</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56"/>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41.80</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43.26</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35.47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27.21</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425"/>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Bitumen ($/BBL)</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65.86</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75.42</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49.77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34.47</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65.86</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75.42</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49.77</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34.47</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6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6095"/>
                    </a:xfrm>
                    <a:prstGeom prst="rect">
                      <a:avLst/>
                    </a:prstGeom>
                    <a:noFill/>
                  </pic:spPr>
                </pic:pic>
              </a:graphicData>
            </a:graphic>
          </wp:anchor>
        </w:drawing>
        <w:br w:type="column"/>
      </w:r>
    </w:p>
    <w:p>
      <w:pPr>
        <w:jc w:val="center"/>
        <w:ind w:right="12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60" w:type="dxa"/>
            <w:vAlign w:val="bottom"/>
            <w:tcBorders>
              <w:top w:val="single" w:sz="8" w:color="auto"/>
            </w:tcBorders>
          </w:tcPr>
          <w:p>
            <w:pPr>
              <w:jc w:val="right"/>
              <w:ind w:right="73"/>
              <w:spacing w:after="0" w:line="201" w:lineRule="exact"/>
              <w:rPr>
                <w:sz w:val="20"/>
                <w:szCs w:val="20"/>
                <w:color w:val="auto"/>
              </w:rPr>
            </w:pPr>
            <w:r>
              <w:rPr>
                <w:rFonts w:ascii="Times New Roman" w:cs="Times New Roman" w:eastAsia="Times New Roman" w:hAnsi="Times New Roman"/>
                <w:sz w:val="18"/>
                <w:szCs w:val="18"/>
                <w:b w:val="1"/>
                <w:bCs w:val="1"/>
                <w:color w:val="auto"/>
              </w:rPr>
              <w:t>1st Qtr2nd</w:t>
            </w:r>
          </w:p>
        </w:tc>
        <w:tc>
          <w:tcPr>
            <w:tcW w:w="54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3rd</w:t>
            </w:r>
          </w:p>
        </w:tc>
        <w:tc>
          <w:tcPr>
            <w:tcW w:w="62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4th</w:t>
            </w:r>
          </w:p>
        </w:tc>
        <w:tc>
          <w:tcPr>
            <w:tcW w:w="680" w:type="dxa"/>
            <w:vAlign w:val="bottom"/>
            <w:tcBorders>
              <w:top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YTD</w:t>
            </w:r>
          </w:p>
        </w:tc>
      </w:tr>
      <w:tr>
        <w:trPr>
          <w:trHeight w:val="238"/>
        </w:trPr>
        <w:tc>
          <w:tcPr>
            <w:tcW w:w="146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Qtr</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Qtr</w:t>
            </w:r>
          </w:p>
        </w:tc>
        <w:tc>
          <w:tcPr>
            <w:tcW w:w="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-273685</wp:posOffset>
            </wp:positionV>
            <wp:extent cx="488315"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831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2540" w:type="dxa"/>
            <w:vAlign w:val="bottom"/>
            <w:tcBorders>
              <w:top w:val="single" w:sz="8" w:color="auto"/>
            </w:tcBorders>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82.22</w:t>
            </w:r>
          </w:p>
        </w:tc>
        <w:tc>
          <w:tcPr>
            <w:tcW w:w="100" w:type="dxa"/>
            <w:vAlign w:val="bottom"/>
            <w:tcBorders>
              <w:top w:val="single" w:sz="8" w:color="auto"/>
            </w:tcBorders>
            <w:shd w:val="clear" w:color="auto" w:fill="CCFFFF"/>
          </w:tcPr>
          <w:p>
            <w:pPr>
              <w:spacing w:after="0"/>
              <w:rPr>
                <w:sz w:val="19"/>
                <w:szCs w:val="19"/>
                <w:color w:val="auto"/>
              </w:rPr>
            </w:pPr>
          </w:p>
        </w:tc>
        <w:tc>
          <w:tcPr>
            <w:tcW w:w="560" w:type="dxa"/>
            <w:vAlign w:val="bottom"/>
            <w:tcBorders>
              <w:top w:val="single" w:sz="8" w:color="auto"/>
            </w:tcBorders>
            <w:vMerge w:val="restart"/>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0"/>
        </w:trPr>
        <w:tc>
          <w:tcPr>
            <w:tcW w:w="2540" w:type="dxa"/>
            <w:vAlign w:val="bottom"/>
            <w:vMerge w:val="continue"/>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vMerge w:val="continue"/>
            <w:shd w:val="clear" w:color="auto" w:fill="CCFFFF"/>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40" w:type="dxa"/>
            <w:vAlign w:val="bottom"/>
          </w:tcPr>
          <w:p>
            <w:pPr>
              <w:jc w:val="right"/>
              <w:ind w:right="1790"/>
              <w:spacing w:after="0" w:line="198" w:lineRule="exact"/>
              <w:rPr>
                <w:sz w:val="20"/>
                <w:szCs w:val="20"/>
                <w:color w:val="auto"/>
              </w:rPr>
            </w:pPr>
            <w:r>
              <w:rPr>
                <w:rFonts w:ascii="Times New Roman" w:cs="Times New Roman" w:eastAsia="Times New Roman" w:hAnsi="Times New Roman"/>
                <w:sz w:val="18"/>
                <w:szCs w:val="18"/>
                <w:color w:val="auto"/>
              </w:rPr>
              <w:t>74.36</w:t>
            </w:r>
          </w:p>
        </w:tc>
        <w:tc>
          <w:tcPr>
            <w:tcW w:w="100" w:type="dxa"/>
            <w:vAlign w:val="bottom"/>
            <w:shd w:val="clear" w:color="auto" w:fill="CCFFFF"/>
          </w:tcPr>
          <w:p>
            <w:pPr>
              <w:spacing w:after="0"/>
              <w:rPr>
                <w:sz w:val="17"/>
                <w:szCs w:val="17"/>
                <w:color w:val="auto"/>
              </w:rPr>
            </w:pPr>
          </w:p>
        </w:tc>
        <w:tc>
          <w:tcPr>
            <w:tcW w:w="560" w:type="dxa"/>
            <w:vAlign w:val="bottom"/>
            <w:shd w:val="clear" w:color="auto" w:fill="CCFFFF"/>
          </w:tcPr>
          <w:p>
            <w:pPr>
              <w:jc w:val="right"/>
              <w:spacing w:after="0" w:line="198" w:lineRule="exact"/>
              <w:rPr>
                <w:sz w:val="20"/>
                <w:szCs w:val="20"/>
                <w:color w:val="auto"/>
              </w:rPr>
            </w:pPr>
            <w:r>
              <w:rPr>
                <w:rFonts w:ascii="Times New Roman" w:cs="Times New Roman" w:eastAsia="Times New Roman" w:hAnsi="Times New Roman"/>
                <w:sz w:val="18"/>
                <w:szCs w:val="18"/>
                <w:color w:val="auto"/>
              </w:rPr>
              <w:t>74.36</w:t>
            </w:r>
          </w:p>
        </w:tc>
        <w:tc>
          <w:tcPr>
            <w:tcW w:w="1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Borders>
              <w:bottom w:val="single" w:sz="8" w:color="auto"/>
            </w:tcBorders>
            <w:shd w:val="clear" w:color="auto" w:fill="CCFFFF"/>
          </w:tcPr>
          <w:p>
            <w:pPr>
              <w:spacing w:after="0"/>
              <w:rPr>
                <w:sz w:val="24"/>
                <w:szCs w:val="24"/>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Borders>
              <w:bottom w:val="single" w:sz="8" w:color="auto"/>
            </w:tcBorders>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839"/>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Borders>
              <w:bottom w:val="single" w:sz="8" w:color="auto"/>
            </w:tcBorders>
            <w:shd w:val="clear" w:color="auto" w:fill="CCFFFF"/>
          </w:tcPr>
          <w:p>
            <w:pPr>
              <w:spacing w:after="0"/>
              <w:rPr>
                <w:sz w:val="19"/>
                <w:szCs w:val="19"/>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Borders>
              <w:bottom w:val="single" w:sz="8" w:color="auto"/>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auto"/>
            </w:tcBorders>
            <w:shd w:val="clear" w:color="auto" w:fill="CCFFFF"/>
          </w:tcPr>
          <w:p>
            <w:pPr>
              <w:spacing w:after="0"/>
              <w:rPr>
                <w:sz w:val="24"/>
                <w:szCs w:val="24"/>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auto"/>
            </w:tcBorders>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7820" w:space="120"/>
            <w:col w:w="3300"/>
          </w:cols>
          <w:pgMar w:left="320" w:top="94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Natural Gas ($/MCF)</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shd w:val="clear" w:color="auto" w:fill="CCFFFF"/>
          </w:tcPr>
          <w:p>
            <w:pPr>
              <w:spacing w:after="0"/>
              <w:rPr>
                <w:sz w:val="18"/>
                <w:szCs w:val="18"/>
                <w:color w:val="auto"/>
              </w:rPr>
            </w:pPr>
          </w:p>
        </w:tc>
      </w:tr>
      <w:tr>
        <w:trPr>
          <w:trHeight w:val="198"/>
        </w:trPr>
        <w:tc>
          <w:tcPr>
            <w:tcW w:w="3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operations</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shd w:val="clear" w:color="auto" w:fill="CCFFFF"/>
          </w:tcPr>
          <w:p>
            <w:pPr>
              <w:spacing w:after="0"/>
              <w:rPr>
                <w:sz w:val="17"/>
                <w:szCs w:val="17"/>
                <w:color w:val="auto"/>
              </w:rPr>
            </w:pP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Alaska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3.34</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4.38</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Lower 48</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4.63</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6.85</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7.36</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3.25</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4.47</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2.40</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Norway</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30.93</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30.06</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50.57</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35.33</w:t>
            </w:r>
          </w:p>
        </w:tc>
      </w:tr>
      <w:tr>
        <w:trPr>
          <w:trHeight w:val="241"/>
        </w:trPr>
        <w:tc>
          <w:tcPr>
            <w:tcW w:w="3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Libya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5.13</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5.61</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7.46</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8.00</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r>
      <w:tr>
        <w:trPr>
          <w:trHeight w:val="223"/>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North Africa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29.18</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28.32</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48.10</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28.13</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33.39</w:t>
            </w:r>
          </w:p>
        </w:tc>
      </w:tr>
      <w:tr>
        <w:trPr>
          <w:trHeight w:val="216"/>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8.26</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r>
      <w:tr>
        <w:trPr>
          <w:trHeight w:val="223"/>
        </w:trPr>
        <w:tc>
          <w:tcPr>
            <w:tcW w:w="3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Malaysia</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3.85</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4.17</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4.18</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4.24</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4.17</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4.18</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4.24</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consolidated operations</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8.81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10.19</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14.14</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9.26</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r>
      <w:tr>
        <w:trPr>
          <w:trHeight w:val="223"/>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affiliates</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8.86</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10.08</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11.37</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12.19</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r>
      <w:tr>
        <w:trPr>
          <w:trHeight w:val="257"/>
        </w:trPr>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8.83</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10.15</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13.04</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10.60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10"/>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4.58</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2.92</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4.64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25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18.04</w:t>
            </w:r>
          </w:p>
        </w:tc>
        <w:tc>
          <w:tcPr>
            <w:tcW w:w="760" w:type="dxa"/>
            <w:vAlign w:val="bottom"/>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18.04</w:t>
            </w:r>
          </w:p>
        </w:tc>
      </w:tr>
      <w:tr>
        <w:trPr>
          <w:trHeight w:val="241"/>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7.67</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17.18</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17.18</w:t>
            </w:r>
          </w:p>
        </w:tc>
      </w:tr>
      <w:tr>
        <w:trPr>
          <w:trHeight w:val="439"/>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4.30</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4.30</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5.65</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23"/>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9.95</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r>
      <w:tr>
        <w:trPr>
          <w:trHeight w:val="257"/>
        </w:trPr>
        <w:tc>
          <w:tcPr>
            <w:tcW w:w="25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7.30</w:t>
            </w:r>
          </w:p>
        </w:tc>
        <w:tc>
          <w:tcPr>
            <w:tcW w:w="760" w:type="dxa"/>
            <w:vAlign w:val="bottom"/>
            <w:tcBorders>
              <w:bottom w:val="single" w:sz="8" w:color="auto"/>
            </w:tcBorders>
            <w:shd w:val="clear" w:color="auto" w:fill="CCFFFF"/>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r>
    </w:tbl>
    <w:p>
      <w:pPr>
        <w:spacing w:after="0" w:line="1" w:lineRule="exact"/>
        <w:rPr>
          <w:sz w:val="20"/>
          <w:szCs w:val="20"/>
          <w:color w:val="auto"/>
        </w:rPr>
      </w:pPr>
    </w:p>
    <w:p>
      <w:pPr>
        <w:sectPr>
          <w:pgSz w:w="11900" w:h="16838" w:orient="portrait"/>
          <w:cols w:equalWidth="0" w:num="2">
            <w:col w:w="7820" w:space="120"/>
            <w:col w:w="3300"/>
          </w:cols>
          <w:pgMar w:left="320" w:top="945" w:right="339" w:bottom="1440" w:gutter="0" w:footer="0" w:header="0"/>
          <w:type w:val="continuous"/>
        </w:sectPr>
      </w:pPr>
    </w:p>
    <w:p>
      <w:pPr>
        <w:ind w:right="120"/>
        <w:spacing w:after="0" w:line="260" w:lineRule="auto"/>
        <w:rPr>
          <w:sz w:val="20"/>
          <w:szCs w:val="20"/>
          <w:color w:val="auto"/>
        </w:rPr>
      </w:pPr>
      <w:r>
        <w:rPr>
          <w:rFonts w:ascii="Times New Roman" w:cs="Times New Roman" w:eastAsia="Times New Roman" w:hAnsi="Times New Roman"/>
          <w:sz w:val="18"/>
          <w:szCs w:val="18"/>
          <w:i w:val="1"/>
          <w:iCs w:val="1"/>
          <w:color w:val="auto"/>
        </w:rPr>
        <w:t>*Average realized prices exclude additional value realized from third-party purchases and sales for optimization of our pipeline capacity between Canada and the U.S. Gulf Coast.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194"/>
        </w:trPr>
        <w:tc>
          <w:tcPr>
            <w:tcW w:w="3200" w:type="dxa"/>
            <w:vAlign w:val="bottom"/>
          </w:tcPr>
          <w:p>
            <w:pPr>
              <w:spacing w:after="0"/>
              <w:rPr>
                <w:sz w:val="16"/>
                <w:szCs w:val="16"/>
                <w:color w:val="auto"/>
              </w:rPr>
            </w:pPr>
          </w:p>
        </w:tc>
        <w:tc>
          <w:tcPr>
            <w:tcW w:w="82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1st Qtr</w:t>
            </w:r>
          </w:p>
        </w:tc>
        <w:tc>
          <w:tcPr>
            <w:tcW w:w="9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2nd Qtr</w:t>
            </w:r>
          </w:p>
        </w:tc>
        <w:tc>
          <w:tcPr>
            <w:tcW w:w="9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3rd Qtr</w:t>
            </w:r>
          </w:p>
        </w:tc>
        <w:tc>
          <w:tcPr>
            <w:tcW w:w="100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4th Qtr</w:t>
            </w:r>
          </w:p>
        </w:tc>
        <w:tc>
          <w:tcPr>
            <w:tcW w:w="100" w:type="dxa"/>
            <w:vAlign w:val="bottom"/>
            <w:shd w:val="clear" w:color="auto" w:fill="CCFFFF"/>
          </w:tcPr>
          <w:p>
            <w:pPr>
              <w:spacing w:after="0"/>
              <w:rPr>
                <w:sz w:val="16"/>
                <w:szCs w:val="16"/>
                <w:color w:val="auto"/>
              </w:rPr>
            </w:pPr>
          </w:p>
        </w:tc>
        <w:tc>
          <w:tcPr>
            <w:tcW w:w="720" w:type="dxa"/>
            <w:vAlign w:val="bottom"/>
            <w:shd w:val="clear" w:color="auto" w:fill="CCFFFF"/>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YTD</w:t>
            </w:r>
          </w:p>
        </w:tc>
        <w:tc>
          <w:tcPr>
            <w:tcW w:w="100" w:type="dxa"/>
            <w:vAlign w:val="bottom"/>
          </w:tcPr>
          <w:p>
            <w:pPr>
              <w:spacing w:after="0"/>
              <w:rPr>
                <w:sz w:val="16"/>
                <w:szCs w:val="16"/>
                <w:color w:val="auto"/>
              </w:rPr>
            </w:pPr>
          </w:p>
        </w:tc>
        <w:tc>
          <w:tcPr>
            <w:tcW w:w="9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1st Qtr</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2nd</w:t>
            </w:r>
          </w:p>
        </w:tc>
        <w:tc>
          <w:tcPr>
            <w:tcW w:w="6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3rd</w:t>
            </w:r>
          </w:p>
        </w:tc>
        <w:tc>
          <w:tcPr>
            <w:tcW w:w="5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4th</w:t>
            </w:r>
          </w:p>
        </w:tc>
        <w:tc>
          <w:tcPr>
            <w:tcW w:w="100" w:type="dxa"/>
            <w:vAlign w:val="bottom"/>
            <w:shd w:val="clear" w:color="auto" w:fill="CCFFFF"/>
          </w:tcPr>
          <w:p>
            <w:pPr>
              <w:spacing w:after="0"/>
              <w:rPr>
                <w:sz w:val="16"/>
                <w:szCs w:val="16"/>
                <w:color w:val="auto"/>
              </w:rPr>
            </w:pPr>
          </w:p>
        </w:tc>
        <w:tc>
          <w:tcPr>
            <w:tcW w:w="720" w:type="dxa"/>
            <w:vAlign w:val="bottom"/>
            <w:shd w:val="clear" w:color="auto" w:fill="CCFFFF"/>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YTD</w:t>
            </w:r>
          </w:p>
        </w:tc>
      </w:tr>
      <w:tr>
        <w:trPr>
          <w:trHeight w:val="245"/>
        </w:trPr>
        <w:tc>
          <w:tcPr>
            <w:tcW w:w="3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CCFFFF"/>
          </w:tcPr>
          <w:p>
            <w:pPr>
              <w:spacing w:after="0"/>
              <w:rPr>
                <w:sz w:val="21"/>
                <w:szCs w:val="21"/>
                <w:color w:val="auto"/>
              </w:rPr>
            </w:pPr>
          </w:p>
        </w:tc>
        <w:tc>
          <w:tcPr>
            <w:tcW w:w="720" w:type="dxa"/>
            <w:vAlign w:val="bottom"/>
            <w:tcBorders>
              <w:bottom w:val="single" w:sz="8" w:color="auto"/>
            </w:tcBorders>
            <w:shd w:val="clear" w:color="auto" w:fill="CCFFFF"/>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Qtr</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Qtr</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Qtr</w:t>
            </w:r>
          </w:p>
        </w:tc>
        <w:tc>
          <w:tcPr>
            <w:tcW w:w="100" w:type="dxa"/>
            <w:vAlign w:val="bottom"/>
            <w:tcBorders>
              <w:bottom w:val="single" w:sz="8" w:color="auto"/>
            </w:tcBorders>
            <w:shd w:val="clear" w:color="auto" w:fill="CCFFFF"/>
          </w:tcPr>
          <w:p>
            <w:pPr>
              <w:spacing w:after="0"/>
              <w:rPr>
                <w:sz w:val="21"/>
                <w:szCs w:val="21"/>
                <w:color w:val="auto"/>
              </w:rPr>
            </w:pPr>
          </w:p>
        </w:tc>
        <w:tc>
          <w:tcPr>
            <w:tcW w:w="720" w:type="dxa"/>
            <w:vAlign w:val="bottom"/>
            <w:tcBorders>
              <w:bottom w:val="single" w:sz="8" w:color="auto"/>
            </w:tcBorders>
            <w:shd w:val="clear" w:color="auto" w:fill="CCFFFF"/>
          </w:tcPr>
          <w:p>
            <w:pPr>
              <w:spacing w:after="0"/>
              <w:rPr>
                <w:sz w:val="21"/>
                <w:szCs w:val="2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CORPORATE AND OTHER</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r>
      <w:tr>
        <w:trPr>
          <w:trHeight w:val="64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Other Earnings (Loss)</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720" w:type="dxa"/>
            <w:vAlign w:val="bottom"/>
            <w:shd w:val="clear" w:color="auto" w:fill="CCFFFF"/>
          </w:tcPr>
          <w:p>
            <w:pPr>
              <w:spacing w:after="0"/>
              <w:rPr>
                <w:sz w:val="24"/>
                <w:szCs w:val="24"/>
                <w:color w:val="auto"/>
              </w:rPr>
            </w:pPr>
          </w:p>
        </w:tc>
      </w:tr>
      <w:tr>
        <w:trPr>
          <w:trHeight w:val="257"/>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546</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(349)</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FFFF"/>
          </w:tcPr>
          <w:p>
            <w:pPr>
              <w:spacing w:after="0"/>
              <w:rPr>
                <w:sz w:val="22"/>
                <w:szCs w:val="22"/>
                <w:color w:val="auto"/>
              </w:rPr>
            </w:pPr>
          </w:p>
        </w:tc>
        <w:tc>
          <w:tcPr>
            <w:tcW w:w="720" w:type="dxa"/>
            <w:vAlign w:val="bottom"/>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(330)</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gridSpan w:val="2"/>
            <w:shd w:val="clear" w:color="auto" w:fill="CCFFFF"/>
          </w:tcPr>
          <w:p>
            <w:pPr>
              <w:jc w:val="right"/>
              <w:ind w:right="70"/>
              <w:spacing w:after="0"/>
              <w:rPr>
                <w:sz w:val="20"/>
                <w:szCs w:val="20"/>
                <w:color w:val="auto"/>
              </w:rPr>
            </w:pPr>
            <w:r>
              <w:rPr>
                <w:rFonts w:ascii="Times New Roman" w:cs="Times New Roman" w:eastAsia="Times New Roman" w:hAnsi="Times New Roman"/>
                <w:sz w:val="18"/>
                <w:szCs w:val="18"/>
                <w:color w:val="auto"/>
              </w:rPr>
              <w:t>(242)</w:t>
            </w:r>
          </w:p>
        </w:tc>
      </w:tr>
      <w:tr>
        <w:trPr>
          <w:trHeight w:val="209"/>
        </w:trPr>
        <w:tc>
          <w:tcPr>
            <w:tcW w:w="3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shd w:val="clear" w:color="auto" w:fill="CCFFFF"/>
          </w:tcPr>
          <w:p>
            <w:pPr>
              <w:spacing w:after="0"/>
              <w:rPr>
                <w:sz w:val="18"/>
                <w:szCs w:val="18"/>
                <w:color w:val="auto"/>
              </w:rPr>
            </w:pPr>
          </w:p>
        </w:tc>
        <w:tc>
          <w:tcPr>
            <w:tcW w:w="720" w:type="dxa"/>
            <w:vAlign w:val="bottom"/>
            <w:tcBorders>
              <w:top w:val="single" w:sz="8" w:color="auto"/>
            </w:tcBorders>
            <w:shd w:val="clear" w:color="auto" w:fill="CCFF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shd w:val="clear" w:color="auto" w:fill="CCFFFF"/>
          </w:tcPr>
          <w:p>
            <w:pPr>
              <w:spacing w:after="0"/>
              <w:rPr>
                <w:sz w:val="18"/>
                <w:szCs w:val="18"/>
                <w:color w:val="auto"/>
              </w:rPr>
            </w:pPr>
          </w:p>
        </w:tc>
        <w:tc>
          <w:tcPr>
            <w:tcW w:w="720" w:type="dxa"/>
            <w:vAlign w:val="bottom"/>
            <w:tcBorders>
              <w:top w:val="single" w:sz="8" w:color="auto"/>
            </w:tcBorders>
            <w:shd w:val="clear" w:color="auto" w:fill="CCFF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54455" cy="506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060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-273685</wp:posOffset>
            </wp:positionV>
            <wp:extent cx="420370" cy="1423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0370" cy="142303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-273685</wp:posOffset>
            </wp:positionV>
            <wp:extent cx="420370" cy="2708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0370" cy="2708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tbl>
      <w:tblPr>
        <w:tblLayout w:type="fixed"/>
        <w:tblInd w:w="0" w:type="dxa"/>
        <w:tblCellMar>
          <w:top w:w="0" w:type="dxa"/>
          <w:left w:w="0" w:type="dxa"/>
          <w:bottom w:w="0" w:type="dxa"/>
          <w:right w:w="0" w:type="dxa"/>
        </w:tblCellMar>
      </w:tblPr>
      <w:tr>
        <w:trPr>
          <w:trHeight w:val="198"/>
        </w:trPr>
        <w:tc>
          <w:tcPr>
            <w:tcW w:w="3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Detail of Earnings (Loss) ($ Millions)</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shd w:val="clear" w:color="auto" w:fill="CCFFFF"/>
          </w:tcPr>
          <w:p>
            <w:pPr>
              <w:spacing w:after="0"/>
              <w:rPr>
                <w:sz w:val="17"/>
                <w:szCs w:val="17"/>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(218)</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FF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CFF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2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FFFF"/>
          </w:tcPr>
          <w:p>
            <w:pPr>
              <w:spacing w:after="0"/>
              <w:rPr>
                <w:sz w:val="18"/>
                <w:szCs w:val="18"/>
                <w:color w:val="auto"/>
              </w:rPr>
            </w:pPr>
          </w:p>
        </w:tc>
      </w:tr>
      <w:tr>
        <w:trPr>
          <w:trHeight w:val="241"/>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785</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Borders>
              <w:bottom w:val="single" w:sz="8" w:color="auto"/>
            </w:tcBorders>
            <w:shd w:val="clear" w:color="auto" w:fill="CCFFFF"/>
          </w:tcPr>
          <w:p>
            <w:pPr>
              <w:spacing w:after="0"/>
              <w:rPr>
                <w:sz w:val="20"/>
                <w:szCs w:val="20"/>
                <w:color w:val="auto"/>
              </w:rPr>
            </w:pPr>
          </w:p>
        </w:tc>
      </w:tr>
      <w:tr>
        <w:trPr>
          <w:trHeight w:val="256"/>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546</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(349)</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Borders>
              <w:bottom w:val="single" w:sz="8" w:color="auto"/>
            </w:tcBorders>
            <w:shd w:val="clear" w:color="auto" w:fill="CCFFFF"/>
          </w:tcPr>
          <w:p>
            <w:pPr>
              <w:spacing w:after="0"/>
              <w:rPr>
                <w:sz w:val="22"/>
                <w:szCs w:val="22"/>
                <w:color w:val="auto"/>
              </w:rPr>
            </w:pPr>
          </w:p>
        </w:tc>
      </w:tr>
      <w:tr>
        <w:trPr>
          <w:trHeight w:val="189"/>
        </w:trPr>
        <w:tc>
          <w:tcPr>
            <w:tcW w:w="69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*Includes investment in new technologies or businesses outside of our normal scope of</w:t>
            </w:r>
          </w:p>
        </w:tc>
        <w:tc>
          <w:tcPr>
            <w:tcW w:w="100" w:type="dxa"/>
            <w:vAlign w:val="bottom"/>
            <w:shd w:val="clear" w:color="auto" w:fill="CCFFFF"/>
          </w:tcPr>
          <w:p>
            <w:pPr>
              <w:spacing w:after="0"/>
              <w:rPr>
                <w:sz w:val="16"/>
                <w:szCs w:val="16"/>
                <w:color w:val="auto"/>
              </w:rPr>
            </w:pPr>
          </w:p>
        </w:tc>
        <w:tc>
          <w:tcPr>
            <w:tcW w:w="560" w:type="dxa"/>
            <w:vAlign w:val="bottom"/>
            <w:shd w:val="clear" w:color="auto" w:fill="CCFFFF"/>
          </w:tcPr>
          <w:p>
            <w:pPr>
              <w:spacing w:after="0"/>
              <w:rPr>
                <w:sz w:val="16"/>
                <w:szCs w:val="16"/>
                <w:color w:val="auto"/>
              </w:rPr>
            </w:pPr>
          </w:p>
        </w:tc>
        <w:tc>
          <w:tcPr>
            <w:tcW w:w="160" w:type="dxa"/>
            <w:vAlign w:val="bottom"/>
            <w:shd w:val="clear" w:color="auto" w:fill="CCFFFF"/>
          </w:tcPr>
          <w:p>
            <w:pPr>
              <w:spacing w:after="0"/>
              <w:rPr>
                <w:sz w:val="16"/>
                <w:szCs w:val="16"/>
                <w:color w:val="auto"/>
              </w:rPr>
            </w:pPr>
          </w:p>
        </w:tc>
      </w:tr>
      <w:tr>
        <w:trPr>
          <w:trHeight w:val="23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operations and licensing revenues.</w:t>
            </w: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560" w:type="dxa"/>
            <w:vAlign w:val="bottom"/>
            <w:shd w:val="clear" w:color="auto" w:fill="CCFFFF"/>
          </w:tcPr>
          <w:p>
            <w:pPr>
              <w:spacing w:after="0"/>
              <w:rPr>
                <w:sz w:val="20"/>
                <w:szCs w:val="20"/>
                <w:color w:val="auto"/>
              </w:rPr>
            </w:pPr>
          </w:p>
        </w:tc>
        <w:tc>
          <w:tcPr>
            <w:tcW w:w="160" w:type="dxa"/>
            <w:vAlign w:val="bottom"/>
            <w:shd w:val="clear" w:color="auto" w:fill="CCFFFF"/>
          </w:tcPr>
          <w:p>
            <w:pPr>
              <w:spacing w:after="0"/>
              <w:rPr>
                <w:sz w:val="20"/>
                <w:szCs w:val="20"/>
                <w:color w:val="auto"/>
              </w:rPr>
            </w:pPr>
          </w:p>
        </w:tc>
      </w:tr>
      <w:tr>
        <w:trPr>
          <w:trHeight w:val="62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Before-Tax Net Interest Expense ($</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spacing w:after="0"/>
              <w:rPr>
                <w:sz w:val="24"/>
                <w:szCs w:val="24"/>
                <w:color w:val="auto"/>
              </w:rPr>
            </w:pPr>
          </w:p>
        </w:tc>
        <w:tc>
          <w:tcPr>
            <w:tcW w:w="160" w:type="dxa"/>
            <w:vAlign w:val="bottom"/>
            <w:shd w:val="clear" w:color="auto" w:fill="CCFFFF"/>
          </w:tcPr>
          <w:p>
            <w:pPr>
              <w:spacing w:after="0"/>
              <w:rPr>
                <w:sz w:val="24"/>
                <w:szCs w:val="24"/>
                <w:color w:val="auto"/>
              </w:rPr>
            </w:pPr>
          </w:p>
        </w:tc>
      </w:tr>
      <w:tr>
        <w:trPr>
          <w:trHeight w:val="220"/>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560" w:type="dxa"/>
            <w:vAlign w:val="bottom"/>
            <w:shd w:val="clear" w:color="auto" w:fill="CCFFFF"/>
          </w:tcPr>
          <w:p>
            <w:pPr>
              <w:spacing w:after="0"/>
              <w:rPr>
                <w:sz w:val="19"/>
                <w:szCs w:val="19"/>
                <w:color w:val="auto"/>
              </w:rPr>
            </w:pPr>
          </w:p>
        </w:tc>
        <w:tc>
          <w:tcPr>
            <w:tcW w:w="160" w:type="dxa"/>
            <w:vAlign w:val="bottom"/>
            <w:shd w:val="clear" w:color="auto" w:fill="CCFFFF"/>
          </w:tcPr>
          <w:p>
            <w:pPr>
              <w:spacing w:after="0"/>
              <w:rPr>
                <w:sz w:val="19"/>
                <w:szCs w:val="19"/>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(227)</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(224)</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shd w:val="clear" w:color="auto" w:fill="CCFF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FFFF"/>
          </w:tcPr>
          <w:p>
            <w:pPr>
              <w:spacing w:after="0"/>
              <w:rPr>
                <w:sz w:val="18"/>
                <w:szCs w:val="18"/>
                <w:color w:val="auto"/>
              </w:rPr>
            </w:pPr>
          </w:p>
        </w:tc>
        <w:tc>
          <w:tcPr>
            <w:tcW w:w="5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FFFF"/>
          </w:tcPr>
          <w:p>
            <w:pPr>
              <w:spacing w:after="0"/>
              <w:rPr>
                <w:sz w:val="18"/>
                <w:szCs w:val="18"/>
                <w:color w:val="auto"/>
              </w:rPr>
            </w:pPr>
          </w:p>
        </w:tc>
      </w:tr>
      <w:tr>
        <w:trPr>
          <w:trHeight w:val="241"/>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auto"/>
            </w:tcBorders>
            <w:shd w:val="clear" w:color="auto" w:fill="CCFFFF"/>
          </w:tcPr>
          <w:p>
            <w:pPr>
              <w:spacing w:after="0"/>
              <w:rPr>
                <w:sz w:val="20"/>
                <w:szCs w:val="20"/>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Borders>
              <w:bottom w:val="single" w:sz="8" w:color="auto"/>
            </w:tcBorders>
            <w:shd w:val="clear" w:color="auto" w:fill="CCFFFF"/>
          </w:tcPr>
          <w:p>
            <w:pPr>
              <w:spacing w:after="0"/>
              <w:rPr>
                <w:sz w:val="20"/>
                <w:szCs w:val="20"/>
                <w:color w:val="auto"/>
              </w:rPr>
            </w:pPr>
          </w:p>
        </w:tc>
      </w:tr>
      <w:tr>
        <w:trPr>
          <w:trHeight w:val="256"/>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(182)</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auto"/>
            </w:tcBorders>
            <w:shd w:val="clear" w:color="auto" w:fill="CCFFFF"/>
          </w:tcPr>
          <w:p>
            <w:pPr>
              <w:spacing w:after="0"/>
              <w:rPr>
                <w:sz w:val="22"/>
                <w:szCs w:val="22"/>
                <w:color w:val="auto"/>
              </w:rPr>
            </w:pPr>
          </w:p>
        </w:tc>
        <w:tc>
          <w:tcPr>
            <w:tcW w:w="560" w:type="dxa"/>
            <w:vAlign w:val="bottom"/>
            <w:tcBorders>
              <w:bottom w:val="single" w:sz="8" w:color="auto"/>
            </w:tcBorders>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Borders>
              <w:bottom w:val="single" w:sz="8" w:color="auto"/>
            </w:tcBorders>
            <w:shd w:val="clear" w:color="auto" w:fill="CCFFFF"/>
          </w:tcPr>
          <w:p>
            <w:pPr>
              <w:spacing w:after="0"/>
              <w:rPr>
                <w:sz w:val="22"/>
                <w:szCs w:val="22"/>
                <w:color w:val="auto"/>
              </w:rPr>
            </w:pPr>
          </w:p>
        </w:tc>
      </w:tr>
      <w:tr>
        <w:trPr>
          <w:trHeight w:val="425"/>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spacing w:after="0"/>
              <w:rPr>
                <w:sz w:val="24"/>
                <w:szCs w:val="24"/>
                <w:color w:val="auto"/>
              </w:rPr>
            </w:pPr>
          </w:p>
        </w:tc>
        <w:tc>
          <w:tcPr>
            <w:tcW w:w="160" w:type="dxa"/>
            <w:vAlign w:val="bottom"/>
            <w:shd w:val="clear" w:color="auto" w:fill="CCFFFF"/>
          </w:tcPr>
          <w:p>
            <w:pPr>
              <w:spacing w:after="0"/>
              <w:rPr>
                <w:sz w:val="24"/>
                <w:szCs w:val="24"/>
                <w:color w:val="auto"/>
              </w:rPr>
            </w:pPr>
          </w:p>
        </w:tc>
      </w:tr>
      <w:tr>
        <w:trPr>
          <w:trHeight w:val="198"/>
        </w:trPr>
        <w:tc>
          <w:tcPr>
            <w:tcW w:w="3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 debt ($ Millions)</w:t>
            </w:r>
          </w:p>
        </w:tc>
        <w:tc>
          <w:tcPr>
            <w:tcW w:w="80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w w:val="96"/>
              </w:rPr>
              <w:t>18,746</w:t>
            </w:r>
          </w:p>
        </w:tc>
        <w:tc>
          <w:tcPr>
            <w:tcW w:w="9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16,971</w:t>
            </w:r>
          </w:p>
        </w:tc>
        <w:tc>
          <w:tcPr>
            <w:tcW w:w="92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16,961</w:t>
            </w:r>
          </w:p>
        </w:tc>
        <w:tc>
          <w:tcPr>
            <w:tcW w:w="92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16,643</w:t>
            </w:r>
          </w:p>
        </w:tc>
        <w:tc>
          <w:tcPr>
            <w:tcW w:w="100" w:type="dxa"/>
            <w:vAlign w:val="bottom"/>
            <w:shd w:val="clear" w:color="auto" w:fill="CCFFFF"/>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16,643</w:t>
            </w:r>
          </w:p>
        </w:tc>
        <w:tc>
          <w:tcPr>
            <w:tcW w:w="160" w:type="dxa"/>
            <w:vAlign w:val="bottom"/>
          </w:tcPr>
          <w:p>
            <w:pPr>
              <w:spacing w:after="0"/>
              <w:rPr>
                <w:sz w:val="17"/>
                <w:szCs w:val="17"/>
                <w:color w:val="auto"/>
              </w:rPr>
            </w:pPr>
          </w:p>
        </w:tc>
      </w:tr>
      <w:tr>
        <w:trPr>
          <w:trHeight w:val="241"/>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Debt-to-capital ratio (%)</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shd w:val="clear" w:color="auto" w:fill="CCFFFF"/>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439"/>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 Millions)</w:t>
            </w: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6"/>
              </w:rPr>
              <w:t>49,218</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50,202</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49,079</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48,003</w:t>
            </w:r>
          </w:p>
        </w:tc>
        <w:tc>
          <w:tcPr>
            <w:tcW w:w="100" w:type="dxa"/>
            <w:vAlign w:val="bottom"/>
            <w:tcBorders>
              <w:bottom w:val="single" w:sz="8" w:color="auto"/>
            </w:tcBorders>
            <w:shd w:val="clear" w:color="auto" w:fill="CCFFFF"/>
          </w:tcPr>
          <w:p>
            <w:pPr>
              <w:spacing w:after="0"/>
              <w:rPr>
                <w:sz w:val="24"/>
                <w:szCs w:val="24"/>
                <w:color w:val="auto"/>
              </w:rPr>
            </w:pPr>
          </w:p>
        </w:tc>
        <w:tc>
          <w:tcPr>
            <w:tcW w:w="720" w:type="dxa"/>
            <w:vAlign w:val="bottom"/>
            <w:tcBorders>
              <w:bottom w:val="single" w:sz="8" w:color="auto"/>
            </w:tcBorders>
            <w:gridSpan w:val="2"/>
            <w:shd w:val="clear" w:color="auto" w:fill="CCFFFF"/>
          </w:tcPr>
          <w:p>
            <w:pPr>
              <w:jc w:val="right"/>
              <w:ind w:right="160"/>
              <w:spacing w:after="0"/>
              <w:rPr>
                <w:sz w:val="20"/>
                <w:szCs w:val="20"/>
                <w:color w:val="auto"/>
              </w:rPr>
            </w:pPr>
            <w:r>
              <w:rPr>
                <w:rFonts w:ascii="Times New Roman" w:cs="Times New Roman" w:eastAsia="Times New Roman" w:hAnsi="Times New Roman"/>
                <w:sz w:val="18"/>
                <w:szCs w:val="18"/>
                <w:color w:val="auto"/>
              </w:rPr>
              <w:t>48,003</w:t>
            </w:r>
          </w:p>
        </w:tc>
      </w:tr>
      <w:tr>
        <w:trPr>
          <w:trHeight w:val="702"/>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REFERENCE</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Commonly Used Abbreviations</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Earnings</w:t>
            </w:r>
          </w:p>
        </w:tc>
        <w:tc>
          <w:tcPr>
            <w:tcW w:w="3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ConocoPhillips</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DD&amp;A</w:t>
            </w:r>
          </w:p>
        </w:tc>
        <w:tc>
          <w:tcPr>
            <w:tcW w:w="3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G&amp;G</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Geological and Geophysical</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G&amp;A</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General and Administrative</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JCC</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 Crude Cocktail</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LNG</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Liquefied Natural Gas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WCS</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Canada Select</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Texas Intermediate</w:t>
            </w: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30"/>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Units of Measure</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BBL</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MMBBL</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of Barrels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MBD</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Barrels per Day</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MBOED</w:t>
            </w:r>
          </w:p>
        </w:tc>
        <w:tc>
          <w:tcPr>
            <w:tcW w:w="3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Thousands of Barrels of Oil Equivalent per Day</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Cubic Feet</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MMBTU</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 of British Thermal Units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MMCFD</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 of Cubic Feet per Day</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-4045585</wp:posOffset>
            </wp:positionV>
            <wp:extent cx="454025"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402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4"/>
        </w:trPr>
        <w:tc>
          <w:tcPr>
            <w:tcW w:w="256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FFFF"/>
          </w:tcPr>
          <w:p>
            <w:pPr>
              <w:spacing w:after="0"/>
              <w:rPr>
                <w:sz w:val="24"/>
                <w:szCs w:val="24"/>
                <w:color w:val="auto"/>
              </w:rPr>
            </w:pPr>
          </w:p>
        </w:tc>
      </w:tr>
      <w:tr>
        <w:trPr>
          <w:trHeight w:val="216"/>
        </w:trPr>
        <w:tc>
          <w:tcPr>
            <w:tcW w:w="256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FFFF"/>
          </w:tcPr>
          <w:p>
            <w:pPr>
              <w:spacing w:after="0"/>
              <w:rPr>
                <w:sz w:val="18"/>
                <w:szCs w:val="18"/>
                <w:color w:val="auto"/>
              </w:rPr>
            </w:pPr>
          </w:p>
        </w:tc>
      </w:tr>
      <w:tr>
        <w:trPr>
          <w:trHeight w:val="216"/>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FFFF"/>
          </w:tcPr>
          <w:p>
            <w:pPr>
              <w:spacing w:after="0"/>
              <w:rPr>
                <w:sz w:val="18"/>
                <w:szCs w:val="18"/>
                <w:color w:val="auto"/>
              </w:rPr>
            </w:pPr>
          </w:p>
        </w:tc>
      </w:tr>
      <w:tr>
        <w:trPr>
          <w:trHeight w:val="241"/>
        </w:trPr>
        <w:tc>
          <w:tcPr>
            <w:tcW w:w="256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(68)</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auto"/>
            </w:tcBorders>
            <w:shd w:val="clear" w:color="auto" w:fill="CCFFFF"/>
          </w:tcPr>
          <w:p>
            <w:pPr>
              <w:spacing w:after="0"/>
              <w:rPr>
                <w:sz w:val="20"/>
                <w:szCs w:val="20"/>
                <w:color w:val="auto"/>
              </w:rPr>
            </w:pPr>
          </w:p>
        </w:tc>
      </w:tr>
      <w:tr>
        <w:trPr>
          <w:trHeight w:val="256"/>
        </w:trPr>
        <w:tc>
          <w:tcPr>
            <w:tcW w:w="256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Borders>
              <w:bottom w:val="single" w:sz="8" w:color="auto"/>
            </w:tcBorders>
            <w:shd w:val="clear" w:color="auto" w:fill="CCFFFF"/>
          </w:tcPr>
          <w:p>
            <w:pPr>
              <w:spacing w:after="0"/>
              <w:rPr>
                <w:sz w:val="22"/>
                <w:szCs w:val="22"/>
                <w:color w:val="auto"/>
              </w:rPr>
            </w:pPr>
          </w:p>
        </w:tc>
      </w:tr>
      <w:tr>
        <w:trPr>
          <w:trHeight w:val="426"/>
        </w:trPr>
        <w:tc>
          <w:tcPr>
            <w:tcW w:w="2560" w:type="dxa"/>
            <w:vAlign w:val="bottom"/>
          </w:tcPr>
          <w:p>
            <w:pPr>
              <w:spacing w:after="0"/>
              <w:rPr>
                <w:sz w:val="24"/>
                <w:szCs w:val="24"/>
                <w:color w:val="auto"/>
              </w:rPr>
            </w:pPr>
          </w:p>
        </w:tc>
        <w:tc>
          <w:tcPr>
            <w:tcW w:w="100" w:type="dxa"/>
            <w:vAlign w:val="bottom"/>
            <w:shd w:val="clear" w:color="auto" w:fill="CCFFFF"/>
          </w:tcPr>
          <w:p>
            <w:pPr>
              <w:spacing w:after="0"/>
              <w:rPr>
                <w:sz w:val="24"/>
                <w:szCs w:val="24"/>
                <w:color w:val="auto"/>
              </w:rPr>
            </w:pPr>
          </w:p>
        </w:tc>
        <w:tc>
          <w:tcPr>
            <w:tcW w:w="560" w:type="dxa"/>
            <w:vAlign w:val="bottom"/>
            <w:shd w:val="clear" w:color="auto" w:fill="CCFFFF"/>
          </w:tcPr>
          <w:p>
            <w:pPr>
              <w:spacing w:after="0"/>
              <w:rPr>
                <w:sz w:val="24"/>
                <w:szCs w:val="24"/>
                <w:color w:val="auto"/>
              </w:rPr>
            </w:pPr>
          </w:p>
        </w:tc>
        <w:tc>
          <w:tcPr>
            <w:tcW w:w="160" w:type="dxa"/>
            <w:vAlign w:val="bottom"/>
            <w:shd w:val="clear" w:color="auto" w:fill="CCFFFF"/>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-136525</wp:posOffset>
            </wp:positionV>
            <wp:extent cx="351790" cy="1148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790" cy="1148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26"/>
        </w:trPr>
        <w:tc>
          <w:tcPr>
            <w:tcW w:w="256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(214)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bottom w:val="single" w:sz="8" w:color="auto"/>
            </w:tcBorders>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56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16,583</w:t>
            </w:r>
          </w:p>
        </w:tc>
        <w:tc>
          <w:tcPr>
            <w:tcW w:w="100" w:type="dxa"/>
            <w:vAlign w:val="bottom"/>
            <w:vMerge w:val="restart"/>
            <w:shd w:val="clear" w:color="auto" w:fill="CCFFFF"/>
          </w:tcPr>
          <w:p>
            <w:pPr>
              <w:spacing w:after="0"/>
              <w:rPr>
                <w:sz w:val="24"/>
                <w:szCs w:val="24"/>
                <w:color w:val="auto"/>
              </w:rPr>
            </w:pPr>
          </w:p>
        </w:tc>
        <w:tc>
          <w:tcPr>
            <w:tcW w:w="560" w:type="dxa"/>
            <w:vAlign w:val="bottom"/>
            <w:shd w:val="clear" w:color="auto" w:fill="CCFFFF"/>
          </w:tcPr>
          <w:p>
            <w:pPr>
              <w:spacing w:after="0"/>
              <w:rPr>
                <w:sz w:val="24"/>
                <w:szCs w:val="24"/>
                <w:color w:val="auto"/>
              </w:rPr>
            </w:pPr>
          </w:p>
        </w:tc>
        <w:tc>
          <w:tcPr>
            <w:tcW w:w="160" w:type="dxa"/>
            <w:vAlign w:val="bottom"/>
            <w:shd w:val="clear" w:color="auto" w:fill="CCFF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60" w:type="dxa"/>
            <w:vAlign w:val="bottom"/>
            <w:vMerge w:val="continue"/>
          </w:tcPr>
          <w:p>
            <w:pPr>
              <w:spacing w:after="0"/>
              <w:rPr>
                <w:sz w:val="17"/>
                <w:szCs w:val="17"/>
                <w:color w:val="auto"/>
              </w:rPr>
            </w:pPr>
          </w:p>
        </w:tc>
        <w:tc>
          <w:tcPr>
            <w:tcW w:w="100" w:type="dxa"/>
            <w:vAlign w:val="bottom"/>
            <w:vMerge w:val="continue"/>
            <w:shd w:val="clear" w:color="auto" w:fill="CCFFFF"/>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16,583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shd w:val="clear" w:color="auto" w:fill="CCFFFF"/>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39"/>
        </w:trPr>
        <w:tc>
          <w:tcPr>
            <w:tcW w:w="256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rPr>
              <w:t>47,783</w:t>
            </w:r>
          </w:p>
        </w:tc>
        <w:tc>
          <w:tcPr>
            <w:tcW w:w="100" w:type="dxa"/>
            <w:vAlign w:val="bottom"/>
            <w:tcBorders>
              <w:bottom w:val="single" w:sz="8" w:color="auto"/>
            </w:tcBorders>
            <w:shd w:val="clear" w:color="auto" w:fill="CCFFFF"/>
          </w:tcPr>
          <w:p>
            <w:pPr>
              <w:spacing w:after="0"/>
              <w:rPr>
                <w:sz w:val="24"/>
                <w:szCs w:val="24"/>
                <w:color w:val="auto"/>
              </w:rPr>
            </w:pPr>
          </w:p>
        </w:tc>
        <w:tc>
          <w:tcPr>
            <w:tcW w:w="720" w:type="dxa"/>
            <w:vAlign w:val="bottom"/>
            <w:tcBorders>
              <w:bottom w:val="single" w:sz="8" w:color="auto"/>
            </w:tcBorders>
            <w:gridSpan w:val="2"/>
            <w:shd w:val="clear" w:color="auto" w:fill="CCFFFF"/>
          </w:tcPr>
          <w:p>
            <w:pPr>
              <w:jc w:val="right"/>
              <w:ind w:right="160"/>
              <w:spacing w:after="0"/>
              <w:rPr>
                <w:sz w:val="20"/>
                <w:szCs w:val="20"/>
                <w:color w:val="auto"/>
              </w:rPr>
            </w:pPr>
            <w:r>
              <w:rPr>
                <w:rFonts w:ascii="Times New Roman" w:cs="Times New Roman" w:eastAsia="Times New Roman" w:hAnsi="Times New Roman"/>
                <w:sz w:val="18"/>
                <w:szCs w:val="18"/>
                <w:color w:val="auto"/>
              </w:rPr>
              <w:t>47,783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-719455</wp:posOffset>
            </wp:positionV>
            <wp:extent cx="454660" cy="428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4660" cy="428625"/>
                    </a:xfrm>
                    <a:prstGeom prst="rect">
                      <a:avLst/>
                    </a:prstGeom>
                    <a:noFill/>
                  </pic:spPr>
                </pic:pic>
              </a:graphicData>
            </a:graphic>
          </wp:anchor>
        </w:drawing>
      </w:r>
    </w:p>
    <w:sectPr>
      <w:pgSz w:w="11900" w:h="16838" w:orient="portrait"/>
      <w:cols w:equalWidth="0" w:num="2">
        <w:col w:w="7760" w:space="100"/>
        <w:col w:w="3380"/>
      </w:cols>
      <w:pgMar w:left="320" w:top="94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2023-05-04T07:35:09Z</dcterms:created>
  <dcterms:modified xsi:type="dcterms:W3CDTF">2023-05-04T07:35:09Z</dcterms:modified>
</cp:coreProperties>
</file>