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NIBLOCK ROBERT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16930 PARK ROW DR.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77084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CONOCOPHILLIPS</w:t>
              </w:r>
            </w:hyperlink>
            <w:r>
              <w:rPr/>
              <w:t xml:space="preserve"> [ </w:t>
            </w:r>
            <w:r>
              <w:rPr>
                <w:rFonts w:ascii="Times;serif" w:hAnsi="Times;serif"/>
                <w:color w:val="0000FF"/>
                <w:sz w:val="24"/>
                <w:shd w:fill="FFFFFF" w:val="clear"/>
              </w:rPr>
              <w:t>COP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88"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98"/>
        <w:gridCol w:w="303"/>
        <w:gridCol w:w="906"/>
        <w:gridCol w:w="801"/>
        <w:gridCol w:w="891"/>
        <w:gridCol w:w="636"/>
        <w:gridCol w:w="816"/>
        <w:gridCol w:w="1131"/>
        <w:gridCol w:w="831"/>
        <w:gridCol w:w="846"/>
      </w:tblGrid>
      <w:tr>
        <w:trPr>
          <w:tblHeader w:val="true"/>
        </w:trPr>
        <w:tc>
          <w:tcPr>
            <w:tcW w:w="1188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1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9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0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1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270</w:t>
            </w:r>
          </w:p>
        </w:tc>
        <w:tc>
          <w:tcPr>
            <w:tcW w:w="3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270</w:t>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138.972</w:t>
            </w:r>
          </w:p>
        </w:tc>
        <w:tc>
          <w:tcPr>
            <w:tcW w:w="11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96,396.105</w:t>
            </w:r>
            <w:r>
              <w:rPr>
                <w:rFonts w:ascii="Times;serif" w:hAnsi="Times;serif"/>
                <w:color w:val="008000"/>
                <w:position w:val="7"/>
                <w:sz w:val="16"/>
                <w:sz w:val="20"/>
                <w:shd w:fill="FFFFFF" w:val="clear"/>
              </w:rPr>
              <w:t>(3)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stock units represent ConocoPhillips common stock on a 1-for-1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has elected to receive payment in five equal annual installments beginning one year following separation from service, which election may be changed by the reporting person to provide for an alternative schedule of deferred payments.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dividend equivalent units acquired through routine transactions that are exempt under rule 16a-11.</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Monica E. White, Attorney in 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19923" TargetMode="External"/><Relationship Id="rId5" Type="http://schemas.openxmlformats.org/officeDocument/2006/relationships/hyperlink" Target="http://www.sec.gov/cgi-bin/browse-edgar?action=getcompany&amp;CIK=000116316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631</Words>
  <Characters>3444</Characters>
  <CharactersWithSpaces>4003</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