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972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268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LUNDQUIST ANDREW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16930 PARK ROW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CONOCOPHILLIPS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2,936</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20,405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1,325</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116.46</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19,080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2,936</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0000FF"/>
                <w:w w:val="97"/>
              </w:rPr>
              <w:t>06/01/2029</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2,936</w:t>
            </w:r>
          </w:p>
        </w:tc>
        <w:tc>
          <w:tcPr>
            <w:tcW w:w="18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8,812.438</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-2015490</wp:posOffset>
            </wp:positionV>
            <wp:extent cx="29210" cy="202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0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includes units acquired as dividend equivalents pursuant to the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unit was the economic equivalent of one share of common stock and settled in shares.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units represent ConocoPhillips common stock on a 1-for-1 basis.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units grant settles in four equal installments on June 1, 2026, June 1, 2027, June 1, 2028 and June 1, 2029, subject to earlier or partial settlement upon termination of employment at least one year after the grant date due to retirement, layoff, death or disability, or a change in control.</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Monica E. White,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80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(by Power of Attorney</w:t>
      </w:r>
      <w:r>
        <w:rPr>
          <w:sz w:val="20"/>
          <w:szCs w:val="20"/>
          <w:color w:val="auto"/>
        </w:rPr>
        <w:tab/>
      </w: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33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POWER OF ATTORNEY</w:t>
      </w:r>
    </w:p>
    <w:p>
      <w:pPr>
        <w:spacing w:after="0" w:line="204"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21"/>
          <w:szCs w:val="21"/>
          <w:color w:val="auto"/>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spacing w:after="0" w:line="169" w:lineRule="exact"/>
        <w:rPr>
          <w:sz w:val="20"/>
          <w:szCs w:val="20"/>
          <w:color w:val="auto"/>
        </w:rPr>
      </w:pPr>
    </w:p>
    <w:p>
      <w:pPr>
        <w:ind w:left="1460" w:right="20" w:hanging="725"/>
        <w:spacing w:after="0" w:line="261"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prepare, execute in my name and on my behalf, and file with the U.S. Securities and Exchange Commission (the “SEC”) any of the following forms which I may be required or permitted to file:</w:t>
      </w:r>
    </w:p>
    <w:p>
      <w:pPr>
        <w:spacing w:after="0" w:line="149" w:lineRule="exact"/>
        <w:rPr>
          <w:rFonts w:ascii="Times New Roman" w:cs="Times New Roman" w:eastAsia="Times New Roman" w:hAnsi="Times New Roman"/>
          <w:sz w:val="21"/>
          <w:szCs w:val="21"/>
          <w:color w:val="auto"/>
        </w:rPr>
      </w:pPr>
    </w:p>
    <w:p>
      <w:pPr>
        <w:jc w:val="both"/>
        <w:ind w:left="2140" w:right="740" w:hanging="673"/>
        <w:spacing w:after="0" w:line="247"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ID and any other documents necessary or appropriate to obtain codes and passwords enabling the undersigned to make electronic filings with the SEC of reports required by Section 16(a) of the Exchange Act or any rule or regulation of the SEC;</w:t>
      </w:r>
    </w:p>
    <w:p>
      <w:pPr>
        <w:spacing w:after="0" w:line="163" w:lineRule="exact"/>
        <w:rPr>
          <w:rFonts w:ascii="Times New Roman" w:cs="Times New Roman" w:eastAsia="Times New Roman" w:hAnsi="Times New Roman"/>
          <w:sz w:val="21"/>
          <w:szCs w:val="21"/>
          <w:color w:val="auto"/>
        </w:rPr>
      </w:pPr>
    </w:p>
    <w:p>
      <w:pPr>
        <w:ind w:left="2140" w:right="740" w:hanging="673"/>
        <w:spacing w:after="0" w:line="261"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Forms 3, 4 and 5 or any other reports or statements of beneficial ownership or changes of beneficial ownership necessary or appropriate under Section 16(a) of the Exchange Act; and</w:t>
      </w:r>
    </w:p>
    <w:p>
      <w:pPr>
        <w:spacing w:after="0" w:line="149" w:lineRule="exact"/>
        <w:rPr>
          <w:rFonts w:ascii="Times New Roman" w:cs="Times New Roman" w:eastAsia="Times New Roman" w:hAnsi="Times New Roman"/>
          <w:sz w:val="21"/>
          <w:szCs w:val="21"/>
          <w:color w:val="auto"/>
        </w:rPr>
      </w:pPr>
    </w:p>
    <w:p>
      <w:pPr>
        <w:ind w:left="2140" w:right="740" w:hanging="673"/>
        <w:spacing w:after="0" w:line="261"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144, or any other notice of proposed sale of securities or other document necessary or appropriate under Rule 144 of the Securities Act.</w:t>
      </w:r>
    </w:p>
    <w:p>
      <w:pPr>
        <w:spacing w:after="0" w:line="149" w:lineRule="exact"/>
        <w:rPr>
          <w:rFonts w:ascii="Times New Roman" w:cs="Times New Roman" w:eastAsia="Times New Roman" w:hAnsi="Times New Roman"/>
          <w:sz w:val="21"/>
          <w:szCs w:val="21"/>
          <w:color w:val="auto"/>
        </w:rPr>
      </w:pPr>
    </w:p>
    <w:p>
      <w:pPr>
        <w:ind w:left="1460" w:hanging="725"/>
        <w:spacing w:after="0"/>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do and perform any and all acts for and on my behalf which may be necessary or desirable to complete and</w:t>
      </w:r>
    </w:p>
    <w:p>
      <w:pPr>
        <w:spacing w:after="0" w:line="16" w:lineRule="exact"/>
        <w:rPr>
          <w:sz w:val="20"/>
          <w:szCs w:val="20"/>
          <w:color w:val="auto"/>
        </w:rPr>
      </w:pPr>
    </w:p>
    <w:p>
      <w:pPr>
        <w:ind w:left="1460"/>
        <w:spacing w:after="0" w:line="232" w:lineRule="auto"/>
        <w:rPr>
          <w:sz w:val="20"/>
          <w:szCs w:val="20"/>
          <w:color w:val="auto"/>
        </w:rPr>
      </w:pPr>
      <w:r>
        <w:rPr>
          <w:rFonts w:ascii="Times New Roman" w:cs="Times New Roman" w:eastAsia="Times New Roman" w:hAnsi="Times New Roman"/>
          <w:sz w:val="21"/>
          <w:szCs w:val="21"/>
          <w:color w:val="auto"/>
        </w:rPr>
        <w:t>execute any such Form ID, 3, 4, 5, or 144, complete and execute any amendment or amendments thereto, and timely file such form with the SEC and any stock exchange or similar authority.</w:t>
      </w:r>
    </w:p>
    <w:p>
      <w:pPr>
        <w:spacing w:after="0" w:line="1" w:lineRule="exact"/>
        <w:rPr>
          <w:sz w:val="20"/>
          <w:szCs w:val="20"/>
          <w:color w:val="auto"/>
        </w:rPr>
      </w:pPr>
    </w:p>
    <w:p>
      <w:pPr>
        <w:jc w:val="both"/>
        <w:ind w:firstLine="731"/>
        <w:spacing w:after="0" w:line="234" w:lineRule="auto"/>
        <w:rPr>
          <w:sz w:val="20"/>
          <w:szCs w:val="20"/>
          <w:color w:val="auto"/>
        </w:rPr>
      </w:pPr>
      <w:r>
        <w:rPr>
          <w:rFonts w:ascii="Times New Roman" w:cs="Times New Roman" w:eastAsia="Times New Roman" w:hAnsi="Times New Roman"/>
          <w:sz w:val="21"/>
          <w:szCs w:val="21"/>
          <w:color w:val="auto"/>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Signature page follows</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942340</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80"/>
          </w:cols>
          <w:pgMar w:left="460" w:top="1355" w:right="459" w:bottom="1440" w:gutter="0" w:footer="0" w:header="0"/>
        </w:sectPr>
      </w:pPr>
    </w:p>
    <w:bookmarkStart w:id="2" w:name="page3"/>
    <w:bookmarkEnd w:id="2"/>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May</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Andrew D. Lundquist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846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1"/>
          <w:szCs w:val="21"/>
          <w:color w:val="auto"/>
        </w:rPr>
        <w:t>Andrew D. Lundquist</w:t>
      </w:r>
    </w:p>
    <w:p>
      <w:pPr>
        <w:sectPr>
          <w:pgSz w:w="11900" w:h="16838" w:orient="portrait"/>
          <w:cols w:equalWidth="0" w:num="1">
            <w:col w:w="10980"/>
          </w:cols>
          <w:pgMar w:left="460" w:top="131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41" w:lineRule="exact"/>
        <w:rPr>
          <w:sz w:val="20"/>
          <w:szCs w:val="20"/>
          <w:color w:val="auto"/>
        </w:rPr>
      </w:pPr>
    </w:p>
    <w:p>
      <w:pPr>
        <w:sectPr>
          <w:pgSz w:w="11900" w:h="16838" w:orient="portrait"/>
          <w:cols w:equalWidth="0" w:num="2">
            <w:col w:w="1780" w:space="720"/>
            <w:col w:w="8480"/>
          </w:cols>
          <w:pgMar w:left="460" w:top="1319" w:right="4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319" w:right="4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187" w:lineRule="exact"/>
        <w:rPr>
          <w:sz w:val="20"/>
          <w:szCs w:val="20"/>
          <w:color w:val="auto"/>
        </w:rPr>
      </w:pPr>
    </w:p>
    <w:p>
      <w:pPr>
        <w:sectPr>
          <w:pgSz w:w="11900" w:h="16838" w:orient="portrait"/>
          <w:cols w:equalWidth="0" w:num="2">
            <w:col w:w="2000" w:space="80"/>
            <w:col w:w="8900"/>
          </w:cols>
          <w:pgMar w:left="460" w:top="1319" w:right="459" w:bottom="1440" w:gutter="0" w:footer="0" w:header="0"/>
          <w:type w:val="continuous"/>
        </w:sectPr>
      </w:pPr>
    </w:p>
    <w:p>
      <w:pPr>
        <w:ind w:right="20" w:firstLine="731"/>
        <w:spacing w:after="0" w:line="219" w:lineRule="auto"/>
        <w:rPr>
          <w:sz w:val="20"/>
          <w:szCs w:val="20"/>
          <w:color w:val="auto"/>
        </w:rPr>
      </w:pPr>
      <w:r>
        <w:rPr>
          <w:rFonts w:ascii="Times New Roman" w:cs="Times New Roman" w:eastAsia="Times New Roman" w:hAnsi="Times New Roman"/>
          <w:sz w:val="21"/>
          <w:szCs w:val="21"/>
          <w:color w:val="auto"/>
        </w:rPr>
        <w:t>On this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May 2026, Andrew D. Lundquist personally appeared before me and acknowledged that he executed the foregoing instrument for the purposes therein contained.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Heather Dawn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583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1"/>
          <w:szCs w:val="21"/>
          <w:color w:val="auto"/>
        </w:rPr>
        <w:t>Notary Public</w:t>
      </w:r>
    </w:p>
    <w:p>
      <w:pPr>
        <w:ind w:left="4400"/>
        <w:spacing w:after="0"/>
        <w:rPr>
          <w:sz w:val="20"/>
          <w:szCs w:val="20"/>
          <w:color w:val="auto"/>
        </w:rPr>
      </w:pPr>
      <w:r>
        <w:rPr>
          <w:rFonts w:ascii="Times New Roman" w:cs="Times New Roman" w:eastAsia="Times New Roman" w:hAnsi="Times New Roman"/>
          <w:sz w:val="21"/>
          <w:szCs w:val="21"/>
          <w:color w:val="auto"/>
        </w:rPr>
        <w:t>My Commission Expires: May 24,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842010</wp:posOffset>
            </wp:positionV>
            <wp:extent cx="699262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80"/>
      </w:cols>
      <w:pgMar w:left="460" w:top="131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178402" TargetMode="External"/><Relationship Id="rId14" Type="http://schemas.openxmlformats.org/officeDocument/2006/relationships/hyperlink" Target="http://www.sec.gov/cgi-bin/browse-edgar?action=getcompany&amp;CIK=0001163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2026-06-03T15:02:33Z</dcterms:created>
  <dcterms:modified xsi:type="dcterms:W3CDTF">2026-06-03T15:02:33Z</dcterms:modified>
</cp:coreProperties>
</file>