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Kinney Shannon Browning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16930 PARK ROW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CONOCOPHILLIPS</w:t>
              </w:r>
            </w:hyperlink>
            <w:r>
              <w:rPr/>
              <w:t xml:space="preserve"> [ </w:t>
            </w:r>
            <w:r>
              <w:rPr>
                <w:rFonts w:ascii="Times;serif" w:hAnsi="Times;serif"/>
                <w:color w:val="0000FF"/>
                <w:sz w:val="24"/>
                <w:shd w:fill="FFFFFF" w:val="clear"/>
              </w:rPr>
              <w:t>COP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24,080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units represent ConocoPhillips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units grant settles in three installments with half settling on September 1, 2027, one quarter on September 1, 2028 and the remainder on September 1, 2029, subject to earlier or partial settlement upon termination of employment due to layoff, death or disability, or a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E. White,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7164" TargetMode="External"/><Relationship Id="rId5" Type="http://schemas.openxmlformats.org/officeDocument/2006/relationships/hyperlink" Target="http://www.sec.gov/cgi-bin/browse-edgar?action=getcompany&amp;CIK=00011631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3408</Characters>
  <CharactersWithSpaces>3967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