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Lance Ryan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16930 PARK ROW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CONOCOPHILLIPS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22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2"/>
                <w:szCs w:val="2"/>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420" w:type="dxa"/>
            <w:vAlign w:val="bottom"/>
          </w:tcPr>
          <w:p>
            <w:pPr>
              <w:spacing w:after="0"/>
              <w:rPr>
                <w:sz w:val="10"/>
                <w:szCs w:val="10"/>
                <w:color w:val="auto"/>
              </w:rPr>
            </w:pPr>
          </w:p>
        </w:tc>
        <w:tc>
          <w:tcPr>
            <w:tcW w:w="33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9"/>
                <w:szCs w:val="19"/>
                <w:color w:val="auto"/>
              </w:rPr>
            </w:pPr>
          </w:p>
        </w:tc>
        <w:tc>
          <w:tcPr>
            <w:tcW w:w="12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22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Borders>
              <w:top w:val="single" w:sz="8" w:color="EEEEEE"/>
            </w:tcBorders>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gridSpan w:val="2"/>
          </w:tcPr>
          <w:p>
            <w:pPr>
              <w:spacing w:after="0"/>
              <w:rPr>
                <w:sz w:val="10"/>
                <w:szCs w:val="10"/>
                <w:color w:val="auto"/>
              </w:rPr>
            </w:pPr>
          </w:p>
        </w:tc>
        <w:tc>
          <w:tcPr>
            <w:tcW w:w="304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42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1500" w:type="dxa"/>
            <w:vAlign w:val="bottom"/>
            <w:gridSpan w:val="4"/>
          </w:tcPr>
          <w:p>
            <w:pPr>
              <w:ind w:left="2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3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Ownership</w:t>
            </w:r>
          </w:p>
        </w:tc>
        <w:tc>
          <w:tcPr>
            <w:tcW w:w="1500" w:type="dxa"/>
            <w:vAlign w:val="bottom"/>
            <w:gridSpan w:val="4"/>
          </w:tcPr>
          <w:p>
            <w:pPr>
              <w:ind w:left="2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220" w:type="dxa"/>
            <w:vAlign w:val="bottom"/>
          </w:tcPr>
          <w:p>
            <w:pPr>
              <w:spacing w:after="0"/>
              <w:rPr>
                <w:sz w:val="11"/>
                <w:szCs w:val="11"/>
                <w:color w:val="auto"/>
              </w:rPr>
            </w:pPr>
          </w:p>
        </w:tc>
        <w:tc>
          <w:tcPr>
            <w:tcW w:w="22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Form: Direct   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7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w:t>
            </w: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2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4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(Instr. 3 and 4)</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gridSpan w:val="2"/>
          </w:tcPr>
          <w:p>
            <w:pPr>
              <w:jc w:val="center"/>
              <w:ind w:left="152"/>
              <w:spacing w:after="0"/>
              <w:rPr>
                <w:sz w:val="20"/>
                <w:szCs w:val="20"/>
                <w:color w:val="auto"/>
              </w:rPr>
            </w:pPr>
            <w:r>
              <w:rPr>
                <w:rFonts w:ascii="Times New Roman" w:cs="Times New Roman" w:eastAsia="Times New Roman" w:hAnsi="Times New Roman"/>
                <w:sz w:val="17"/>
                <w:szCs w:val="17"/>
                <w:color w:val="0000FF"/>
              </w:rPr>
              <w:t>6,835</w:t>
            </w:r>
          </w:p>
        </w:tc>
        <w:tc>
          <w:tcPr>
            <w:tcW w:w="220" w:type="dxa"/>
            <w:vAlign w:val="bottom"/>
          </w:tcPr>
          <w:p>
            <w:pPr>
              <w:spacing w:after="0"/>
              <w:rPr>
                <w:sz w:val="23"/>
                <w:szCs w:val="23"/>
                <w:color w:val="auto"/>
              </w:rPr>
            </w:pPr>
          </w:p>
        </w:tc>
        <w:tc>
          <w:tcPr>
            <w:tcW w:w="7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03/31/2026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113,221</w:t>
            </w:r>
          </w:p>
        </w:tc>
        <w:tc>
          <w:tcPr>
            <w:tcW w:w="5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132.7085</w:t>
            </w:r>
            <w:r>
              <w:rPr>
                <w:rFonts w:ascii="Times New Roman" w:cs="Times New Roman" w:eastAsia="Times New Roman" w:hAnsi="Times New Roman"/>
                <w:sz w:val="22"/>
                <w:szCs w:val="22"/>
                <w:color w:val="008000"/>
                <w:vertAlign w:val="superscript"/>
              </w:rPr>
              <w:t>(1)</w:t>
            </w:r>
          </w:p>
        </w:tc>
        <w:tc>
          <w:tcPr>
            <w:tcW w:w="900" w:type="dxa"/>
            <w:vAlign w:val="bottom"/>
            <w:gridSpan w:val="2"/>
            <w:vMerge w:val="restart"/>
          </w:tcPr>
          <w:p>
            <w:pPr>
              <w:jc w:val="center"/>
              <w:ind w:left="152"/>
              <w:spacing w:after="0"/>
              <w:rPr>
                <w:sz w:val="20"/>
                <w:szCs w:val="20"/>
                <w:color w:val="auto"/>
              </w:rPr>
            </w:pPr>
            <w:r>
              <w:rPr>
                <w:rFonts w:ascii="Times New Roman" w:cs="Times New Roman" w:eastAsia="Times New Roman" w:hAnsi="Times New Roman"/>
                <w:sz w:val="17"/>
                <w:szCs w:val="17"/>
                <w:color w:val="0000FF"/>
              </w:rPr>
              <w:t>350,000</w:t>
            </w:r>
          </w:p>
        </w:tc>
        <w:tc>
          <w:tcPr>
            <w:tcW w:w="220" w:type="dxa"/>
            <w:vAlign w:val="bottom"/>
          </w:tcPr>
          <w:p>
            <w:pPr>
              <w:spacing w:after="0"/>
              <w:rPr>
                <w:sz w:val="21"/>
                <w:szCs w:val="21"/>
                <w:color w:val="auto"/>
              </w:rPr>
            </w:pPr>
          </w:p>
        </w:tc>
        <w:tc>
          <w:tcPr>
            <w:tcW w:w="7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By Lance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500" w:type="dxa"/>
            <w:vAlign w:val="bottom"/>
            <w:gridSpan w:val="4"/>
            <w:vMerge w:val="restart"/>
          </w:tcPr>
          <w:p>
            <w:pPr>
              <w:ind w:left="240"/>
              <w:spacing w:after="0"/>
              <w:rPr>
                <w:sz w:val="20"/>
                <w:szCs w:val="20"/>
                <w:color w:val="auto"/>
              </w:rPr>
            </w:pPr>
            <w:r>
              <w:rPr>
                <w:rFonts w:ascii="Times New Roman" w:cs="Times New Roman" w:eastAsia="Times New Roman" w:hAnsi="Times New Roman"/>
                <w:sz w:val="17"/>
                <w:szCs w:val="17"/>
                <w:color w:val="0000FF"/>
              </w:rPr>
              <w:t>Family 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8"/>
              </w:rPr>
              <w:t>21,646.336</w:t>
            </w:r>
            <w:r>
              <w:rPr>
                <w:rFonts w:ascii="Times New Roman" w:cs="Times New Roman" w:eastAsia="Times New Roman" w:hAnsi="Times New Roman"/>
                <w:sz w:val="22"/>
                <w:szCs w:val="22"/>
                <w:color w:val="008000"/>
                <w:w w:val="98"/>
                <w:vertAlign w:val="superscript"/>
              </w:rPr>
              <w:t>(2)</w:t>
            </w:r>
          </w:p>
        </w:tc>
        <w:tc>
          <w:tcPr>
            <w:tcW w:w="7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ConocoPhillips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Savings 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gridSpan w:val="2"/>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22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102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4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  8)</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is a weighted average price. These shares were sold in multiple transactions at prices from $131.54 to $133.84, inclusive. The reporting person undertakes to provide to the issuer, any security holder of the issuer, or the staff of the Securities and Exchange Commission, upon request, full information regarding the number of shares sold at each separate price within the range provided 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units acquired through routine dividend transactions that are exempt under rule 16a-11 and through a qualified plan that are exempt under rule 16b-3.</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Kelly B. Rose, Attorney 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03/31/2026</w:t>
            </w: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64560" TargetMode="External"/><Relationship Id="rId14" Type="http://schemas.openxmlformats.org/officeDocument/2006/relationships/hyperlink" Target="http://www.sec.gov/cgi-bin/browse-edgar?action=getcompany&amp;CIK=00011631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2026-03-31T16:01:47Z</dcterms:created>
  <dcterms:modified xsi:type="dcterms:W3CDTF">2026-03-31T16:01:47Z</dcterms:modified>
</cp:coreProperties>
</file>