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ConocoPhillips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40" w:type="dxa"/>
        <w:tblCellMar>
          <w:top w:w="0" w:type="dxa"/>
          <w:left w:w="0" w:type="dxa"/>
          <w:bottom w:w="0" w:type="dxa"/>
          <w:right w:w="0" w:type="dxa"/>
        </w:tblCellMar>
      </w:tblPr>
      <w:tr>
        <w:trPr>
          <w:trHeight w:val="233"/>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001-32395</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incorporation)</w:t>
            </w: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170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Houston, Texas 77079</w:t>
            </w:r>
          </w:p>
        </w:tc>
        <w:tc>
          <w:tcPr>
            <w:tcW w:w="17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5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(281) 293-1000</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06"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COP</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 Debentures due 2029</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CUSIP – 718507BK1</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60"/>
        </w:trPr>
        <w:tc>
          <w:tcPr>
            <w:tcW w:w="39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ConocoPhillips (the “Company”) held its annual meeting of stockholders on May 12, 2026. As of the record date for the annual meeting, there were a total of 1,218,853,041 shares outstanding and entitled to vote. The results of the matters submitted to a vote of the stockholders at the meeting are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All 13 nominated directors were elected to serve a one-year term.</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Number of Shares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Broker</w:t>
            </w:r>
          </w:p>
        </w:tc>
        <w:tc>
          <w:tcPr>
            <w:tcW w:w="100" w:type="dxa"/>
            <w:vAlign w:val="bottom"/>
          </w:tcPr>
          <w:p>
            <w:pPr>
              <w:spacing w:after="0"/>
              <w:rPr>
                <w:sz w:val="16"/>
                <w:szCs w:val="16"/>
                <w:color w:val="auto"/>
              </w:rPr>
            </w:pPr>
          </w:p>
        </w:tc>
      </w:tr>
      <w:tr>
        <w:trPr>
          <w:trHeight w:val="234"/>
        </w:trPr>
        <w:tc>
          <w:tcPr>
            <w:tcW w:w="520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Voted For</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Voted Against</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Abstentions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V. Arriola</w:t>
            </w:r>
          </w:p>
        </w:tc>
        <w:tc>
          <w:tcPr>
            <w:tcW w:w="12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972,950,789</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11,794,507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1,001,859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108,890,490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Nelda J. Connors</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964,512,800</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20,087,280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1,147,075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 Huey Evans</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965,672,431</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19,072,057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1,002,667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Jeffrey A. Joerres</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963,928,685</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20,811,920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1,006,550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M. Lance</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953,619,854</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31,168,419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958,882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Timothy A. Leach</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965,321,999</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19,236,835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1,188,321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A. McGinty</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972,741,086</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11,985,168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1,020,901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William H. McRaven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972,768,334</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12,017,091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11,985,168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Sharmila Mulligan</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967,648,764</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17,114,657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983,734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Arjun N. Murti</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964,115,023</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20,674,018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958,114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Niblock</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946,104,070</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38,625,960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1,017,125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David T. Seaton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951,730,558</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33,034,256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982,341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 Walker</w:t>
            </w:r>
          </w:p>
        </w:tc>
        <w:tc>
          <w:tcPr>
            <w:tcW w:w="1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969,745,327</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15,001,919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999,909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OF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2026 was approved.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Number of Shares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Voted For</w:t>
            </w: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Voted Against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c>
          <w:tcPr>
            <w:tcW w:w="100" w:type="dxa"/>
            <w:vAlign w:val="bottom"/>
          </w:tcPr>
          <w:p>
            <w:pPr>
              <w:spacing w:after="0"/>
              <w:rPr>
                <w:sz w:val="19"/>
                <w:szCs w:val="19"/>
                <w:color w:val="auto"/>
              </w:rPr>
            </w:pPr>
          </w:p>
        </w:tc>
      </w:tr>
      <w:tr>
        <w:trPr>
          <w:trHeight w:val="178"/>
        </w:trPr>
        <w:tc>
          <w:tcPr>
            <w:tcW w:w="67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Ratification of Appointment of Ernst &amp; Young LLP as the Company’s Independent</w:t>
            </w:r>
          </w:p>
        </w:tc>
        <w:tc>
          <w:tcPr>
            <w:tcW w:w="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1,055,769,841</w:t>
            </w:r>
          </w:p>
        </w:tc>
        <w:tc>
          <w:tcPr>
            <w:tcW w:w="12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37,870,484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997,320</w:t>
            </w:r>
          </w:p>
        </w:tc>
      </w:tr>
      <w:tr>
        <w:trPr>
          <w:trHeight w:val="64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ADVISORY APPROVAL OF EXECUTIVE COMPENSATION</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advisory vote on the compensation of our Named Executive Officers was approved.</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rPr>
              <w:t>Number of Shares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Broker</w:t>
            </w:r>
          </w:p>
        </w:tc>
        <w:tc>
          <w:tcPr>
            <w:tcW w:w="100" w:type="dxa"/>
            <w:vAlign w:val="bottom"/>
          </w:tcPr>
          <w:p>
            <w:pPr>
              <w:spacing w:after="0"/>
              <w:rPr>
                <w:sz w:val="16"/>
                <w:szCs w:val="16"/>
                <w:color w:val="auto"/>
              </w:rPr>
            </w:pPr>
          </w:p>
        </w:tc>
      </w:tr>
      <w:tr>
        <w:trPr>
          <w:trHeight w:val="234"/>
        </w:trPr>
        <w:tc>
          <w:tcPr>
            <w:tcW w:w="520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Voted For</w:t>
            </w:r>
          </w:p>
        </w:tc>
        <w:tc>
          <w:tcPr>
            <w:tcW w:w="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Voted Against</w:t>
            </w: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Abstentions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178"/>
        </w:trPr>
        <w:tc>
          <w:tcPr>
            <w:tcW w:w="5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Advisory Vote on the Compensation of our Named Executive</w:t>
            </w: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943,706,422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39,445,969</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2,594,764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108,890,490</w:t>
            </w:r>
          </w:p>
        </w:tc>
      </w:tr>
      <w:tr>
        <w:trPr>
          <w:trHeight w:val="675"/>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STOCKHOLDER PROPOSAL – INDEPENDENT BOARD CHAIRMAN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stockholder proposal for the Company to require that two separate people hold the office of the Chairman and the office of the Chief Executive Officer was not approved.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Number of Shares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Broker</w:t>
            </w:r>
          </w:p>
        </w:tc>
        <w:tc>
          <w:tcPr>
            <w:tcW w:w="100" w:type="dxa"/>
            <w:vAlign w:val="bottom"/>
          </w:tcPr>
          <w:p>
            <w:pPr>
              <w:spacing w:after="0"/>
              <w:rPr>
                <w:sz w:val="16"/>
                <w:szCs w:val="16"/>
                <w:color w:val="auto"/>
              </w:rPr>
            </w:pPr>
          </w:p>
        </w:tc>
      </w:tr>
      <w:tr>
        <w:trPr>
          <w:trHeight w:val="234"/>
        </w:trPr>
        <w:tc>
          <w:tcPr>
            <w:tcW w:w="520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Voted For</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Voted Against</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Abstentions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Proposal – Independent Board Chairman</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274,246,111</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705,606,221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5,894,823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108,890,490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5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w:t>
            </w:r>
          </w:p>
        </w:tc>
        <w:tc>
          <w:tcPr>
            <w:tcW w:w="0" w:type="dxa"/>
            <w:vAlign w:val="bottom"/>
          </w:tcPr>
          <w:p>
            <w:pPr>
              <w:spacing w:after="0"/>
              <w:rPr>
                <w:sz w:val="1"/>
                <w:szCs w:val="1"/>
                <w:color w:val="auto"/>
              </w:rPr>
            </w:pPr>
          </w:p>
        </w:tc>
      </w:tr>
      <w:tr>
        <w:trPr>
          <w:trHeight w:val="439"/>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14, 2026</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Kelly B. Rose</w:t>
            </w:r>
          </w:p>
        </w:tc>
        <w:tc>
          <w:tcPr>
            <w:tcW w:w="0" w:type="dxa"/>
            <w:vAlign w:val="bottom"/>
          </w:tcPr>
          <w:p>
            <w:pPr>
              <w:spacing w:after="0"/>
              <w:rPr>
                <w:sz w:val="1"/>
                <w:szCs w:val="1"/>
                <w:color w:val="auto"/>
              </w:rPr>
            </w:pPr>
          </w:p>
        </w:tc>
      </w:tr>
      <w:tr>
        <w:trPr>
          <w:trHeight w:val="218"/>
        </w:trPr>
        <w:tc>
          <w:tcPr>
            <w:tcW w:w="5620" w:type="dxa"/>
            <w:vAlign w:val="bottom"/>
            <w:vMerge w:val="continue"/>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Kelly B. Rose</w:t>
            </w:r>
          </w:p>
        </w:tc>
        <w:tc>
          <w:tcPr>
            <w:tcW w:w="0" w:type="dxa"/>
            <w:vAlign w:val="bottom"/>
          </w:tcPr>
          <w:p>
            <w:pPr>
              <w:spacing w:after="0"/>
              <w:rPr>
                <w:sz w:val="1"/>
                <w:szCs w:val="1"/>
                <w:color w:val="auto"/>
              </w:rPr>
            </w:pPr>
          </w:p>
        </w:tc>
      </w:tr>
    </w:tbl>
    <w:p>
      <w:pPr>
        <w:jc w:val="center"/>
        <w:ind w:left="5600"/>
        <w:spacing w:after="0"/>
        <w:rPr>
          <w:sz w:val="20"/>
          <w:szCs w:val="20"/>
          <w:color w:val="auto"/>
        </w:rPr>
      </w:pPr>
      <w:r>
        <w:rPr>
          <w:rFonts w:ascii="Times New Roman" w:cs="Times New Roman" w:eastAsia="Times New Roman" w:hAnsi="Times New Roman"/>
          <w:sz w:val="18"/>
          <w:szCs w:val="18"/>
          <w:color w:val="auto"/>
        </w:rPr>
        <w:t>Senior Vice President, Legal,</w:t>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2026-05-14T15:11:38Z</dcterms:created>
  <dcterms:modified xsi:type="dcterms:W3CDTF">2026-05-14T15:11:38Z</dcterms:modified>
</cp:coreProperties>
</file>