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FORM 8-K</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April 30, 2026</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ConocoPhillips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58"/>
        </w:trPr>
        <w:tc>
          <w:tcPr>
            <w:tcW w:w="3440" w:type="dxa"/>
            <w:vAlign w:val="bottom"/>
          </w:tcPr>
          <w:p>
            <w:pPr>
              <w:jc w:val="center"/>
              <w:ind w:right="881"/>
              <w:spacing w:after="0"/>
              <w:rPr>
                <w:sz w:val="20"/>
                <w:szCs w:val="20"/>
                <w:color w:val="auto"/>
              </w:rPr>
            </w:pPr>
            <w:r>
              <w:rPr>
                <w:rFonts w:ascii="Arial" w:cs="Arial" w:eastAsia="Arial" w:hAnsi="Arial"/>
                <w:sz w:val="20"/>
                <w:szCs w:val="20"/>
                <w:b w:val="1"/>
                <w:bCs w:val="1"/>
                <w:color w:val="auto"/>
                <w:w w:val="97"/>
              </w:rPr>
              <w:t>Delaware</w:t>
            </w:r>
          </w:p>
        </w:tc>
        <w:tc>
          <w:tcPr>
            <w:tcW w:w="3320" w:type="dxa"/>
            <w:vAlign w:val="bottom"/>
          </w:tcPr>
          <w:p>
            <w:pPr>
              <w:jc w:val="center"/>
              <w:ind w:right="161"/>
              <w:spacing w:after="0"/>
              <w:rPr>
                <w:sz w:val="20"/>
                <w:szCs w:val="20"/>
                <w:color w:val="auto"/>
              </w:rPr>
            </w:pPr>
            <w:r>
              <w:rPr>
                <w:rFonts w:ascii="Arial" w:cs="Arial" w:eastAsia="Arial" w:hAnsi="Arial"/>
                <w:sz w:val="20"/>
                <w:szCs w:val="20"/>
                <w:b w:val="1"/>
                <w:bCs w:val="1"/>
                <w:color w:val="auto"/>
                <w:w w:val="98"/>
              </w:rPr>
              <w:t>001-32395</w:t>
            </w:r>
          </w:p>
        </w:tc>
        <w:tc>
          <w:tcPr>
            <w:tcW w:w="2740" w:type="dxa"/>
            <w:vAlign w:val="bottom"/>
          </w:tcPr>
          <w:p>
            <w:pPr>
              <w:jc w:val="center"/>
              <w:ind w:left="1101"/>
              <w:spacing w:after="0"/>
              <w:rPr>
                <w:sz w:val="20"/>
                <w:szCs w:val="20"/>
                <w:color w:val="auto"/>
              </w:rPr>
            </w:pPr>
            <w:r>
              <w:rPr>
                <w:rFonts w:ascii="Arial" w:cs="Arial" w:eastAsia="Arial" w:hAnsi="Arial"/>
                <w:sz w:val="20"/>
                <w:szCs w:val="20"/>
                <w:b w:val="1"/>
                <w:bCs w:val="1"/>
                <w:color w:val="auto"/>
                <w:w w:val="99"/>
              </w:rPr>
              <w:t>01-0562944</w:t>
            </w:r>
          </w:p>
        </w:tc>
      </w:tr>
      <w:tr>
        <w:trPr>
          <w:trHeight w:val="203"/>
        </w:trPr>
        <w:tc>
          <w:tcPr>
            <w:tcW w:w="3440" w:type="dxa"/>
            <w:vAlign w:val="bottom"/>
          </w:tcPr>
          <w:p>
            <w:pPr>
              <w:jc w:val="center"/>
              <w:ind w:right="881"/>
              <w:spacing w:after="0" w:line="203" w:lineRule="exact"/>
              <w:rPr>
                <w:sz w:val="20"/>
                <w:szCs w:val="20"/>
                <w:color w:val="auto"/>
              </w:rPr>
            </w:pPr>
            <w:r>
              <w:rPr>
                <w:rFonts w:ascii="Arial" w:cs="Arial" w:eastAsia="Arial" w:hAnsi="Arial"/>
                <w:sz w:val="20"/>
                <w:szCs w:val="20"/>
                <w:color w:val="auto"/>
                <w:w w:val="98"/>
              </w:rPr>
              <w:t>(State or other jurisdiction of</w:t>
            </w:r>
          </w:p>
        </w:tc>
        <w:tc>
          <w:tcPr>
            <w:tcW w:w="3320" w:type="dxa"/>
            <w:vAlign w:val="bottom"/>
          </w:tcPr>
          <w:p>
            <w:pPr>
              <w:jc w:val="center"/>
              <w:ind w:right="161"/>
              <w:spacing w:after="0" w:line="203" w:lineRule="exact"/>
              <w:rPr>
                <w:sz w:val="20"/>
                <w:szCs w:val="20"/>
                <w:color w:val="auto"/>
              </w:rPr>
            </w:pPr>
            <w:r>
              <w:rPr>
                <w:rFonts w:ascii="Arial" w:cs="Arial" w:eastAsia="Arial" w:hAnsi="Arial"/>
                <w:sz w:val="20"/>
                <w:szCs w:val="20"/>
                <w:color w:val="auto"/>
                <w:w w:val="97"/>
              </w:rPr>
              <w:t>(Commission</w:t>
            </w:r>
          </w:p>
        </w:tc>
        <w:tc>
          <w:tcPr>
            <w:tcW w:w="2740" w:type="dxa"/>
            <w:vAlign w:val="bottom"/>
          </w:tcPr>
          <w:p>
            <w:pPr>
              <w:jc w:val="center"/>
              <w:ind w:left="1041"/>
              <w:spacing w:after="0" w:line="203" w:lineRule="exact"/>
              <w:rPr>
                <w:sz w:val="20"/>
                <w:szCs w:val="20"/>
                <w:color w:val="auto"/>
              </w:rPr>
            </w:pPr>
            <w:r>
              <w:rPr>
                <w:rFonts w:ascii="Arial" w:cs="Arial" w:eastAsia="Arial" w:hAnsi="Arial"/>
                <w:sz w:val="20"/>
                <w:szCs w:val="20"/>
                <w:color w:val="auto"/>
                <w:w w:val="98"/>
              </w:rPr>
              <w:t>(I.R.S. Employer</w:t>
            </w:r>
          </w:p>
        </w:tc>
      </w:tr>
      <w:tr>
        <w:trPr>
          <w:trHeight w:val="261"/>
        </w:trPr>
        <w:tc>
          <w:tcPr>
            <w:tcW w:w="3440" w:type="dxa"/>
            <w:vAlign w:val="bottom"/>
          </w:tcPr>
          <w:p>
            <w:pPr>
              <w:jc w:val="center"/>
              <w:ind w:right="881"/>
              <w:spacing w:after="0"/>
              <w:rPr>
                <w:sz w:val="20"/>
                <w:szCs w:val="20"/>
                <w:color w:val="auto"/>
              </w:rPr>
            </w:pPr>
            <w:r>
              <w:rPr>
                <w:rFonts w:ascii="Arial" w:cs="Arial" w:eastAsia="Arial" w:hAnsi="Arial"/>
                <w:sz w:val="20"/>
                <w:szCs w:val="20"/>
                <w:color w:val="auto"/>
                <w:w w:val="99"/>
              </w:rPr>
              <w:t>incorporation)</w:t>
            </w:r>
          </w:p>
        </w:tc>
        <w:tc>
          <w:tcPr>
            <w:tcW w:w="3320" w:type="dxa"/>
            <w:vAlign w:val="bottom"/>
          </w:tcPr>
          <w:p>
            <w:pPr>
              <w:jc w:val="center"/>
              <w:ind w:right="161"/>
              <w:spacing w:after="0"/>
              <w:rPr>
                <w:sz w:val="20"/>
                <w:szCs w:val="20"/>
                <w:color w:val="auto"/>
              </w:rPr>
            </w:pPr>
            <w:r>
              <w:rPr>
                <w:rFonts w:ascii="Arial" w:cs="Arial" w:eastAsia="Arial" w:hAnsi="Arial"/>
                <w:sz w:val="20"/>
                <w:szCs w:val="20"/>
                <w:color w:val="auto"/>
                <w:w w:val="98"/>
              </w:rPr>
              <w:t>File Number)</w:t>
            </w:r>
          </w:p>
        </w:tc>
        <w:tc>
          <w:tcPr>
            <w:tcW w:w="2740" w:type="dxa"/>
            <w:vAlign w:val="bottom"/>
          </w:tcPr>
          <w:p>
            <w:pPr>
              <w:jc w:val="center"/>
              <w:ind w:left="1101"/>
              <w:spacing w:after="0"/>
              <w:rPr>
                <w:sz w:val="20"/>
                <w:szCs w:val="20"/>
                <w:color w:val="auto"/>
              </w:rPr>
            </w:pPr>
            <w:r>
              <w:rPr>
                <w:rFonts w:ascii="Arial" w:cs="Arial" w:eastAsia="Arial" w:hAnsi="Arial"/>
                <w:sz w:val="20"/>
                <w:szCs w:val="20"/>
                <w:color w:val="auto"/>
                <w:w w:val="98"/>
              </w:rPr>
              <w:t>Identification No.)</w:t>
            </w:r>
          </w:p>
        </w:tc>
      </w:tr>
    </w:tbl>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925 N. Eldridge Parkway</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Houston, Texas 77079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offices and zip code)</w:t>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(281) 293-1000</w:t>
      </w:r>
    </w:p>
    <w:p>
      <w:pPr>
        <w:spacing w:after="0" w:line="189"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3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3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Symbol(s)</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18"/>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$.01 Par Value</w:t>
            </w:r>
          </w:p>
        </w:tc>
        <w:tc>
          <w:tcPr>
            <w:tcW w:w="100" w:type="dxa"/>
            <w:vAlign w:val="bottom"/>
          </w:tcPr>
          <w:p>
            <w:pPr>
              <w:spacing w:after="0"/>
              <w:rPr>
                <w:sz w:val="18"/>
                <w:szCs w:val="18"/>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COP</w:t>
            </w:r>
          </w:p>
        </w:tc>
        <w:tc>
          <w:tcPr>
            <w:tcW w:w="80" w:type="dxa"/>
            <w:vAlign w:val="bottom"/>
          </w:tcPr>
          <w:p>
            <w:pPr>
              <w:spacing w:after="0"/>
              <w:rPr>
                <w:sz w:val="18"/>
                <w:szCs w:val="18"/>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39"/>
        </w:trPr>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7% Debentures due 2029</w:t>
            </w:r>
          </w:p>
        </w:tc>
        <w:tc>
          <w:tcPr>
            <w:tcW w:w="3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CUSIP-718507BK1</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274"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2" w:lineRule="exact"/>
        <w:rPr>
          <w:sz w:val="24"/>
          <w:szCs w:val="24"/>
          <w:color w:val="auto"/>
        </w:rPr>
      </w:pPr>
    </w:p>
    <w:p>
      <w:pPr>
        <w:jc w:val="both"/>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On April 30, 2026, ConocoPhillips issued a press release announcing the company's financial and operating results for the quarter ended March 31, 2026. A copy of the press release is furnished as Exhibit 99.1 hereto and incorporated herein by reference. Additional financial and operating information about the quarter is furnished as Exhibit 99.2 hereto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47" w:lineRule="exact"/>
        <w:rPr>
          <w:sz w:val="20"/>
          <w:szCs w:val="20"/>
          <w:color w:val="auto"/>
        </w:rPr>
      </w:pPr>
    </w:p>
    <w:p>
      <w:pPr>
        <w:ind w:left="240"/>
        <w:spacing w:after="0"/>
        <w:tabs>
          <w:tab w:leader="none" w:pos="2120" w:val="left"/>
        </w:tabs>
        <w:rPr>
          <w:sz w:val="20"/>
          <w:szCs w:val="20"/>
          <w:color w:val="auto"/>
        </w:rPr>
      </w:pPr>
      <w:r>
        <w:rPr>
          <w:rFonts w:ascii="Arial" w:cs="Arial" w:eastAsia="Arial" w:hAnsi="Arial"/>
          <w:sz w:val="22"/>
          <w:szCs w:val="22"/>
          <w:color w:val="auto"/>
        </w:rPr>
        <w:t>Exhibit No.</w:t>
      </w:r>
      <w:r>
        <w:rPr>
          <w:sz w:val="20"/>
          <w:szCs w:val="20"/>
          <w:color w:val="auto"/>
        </w:rPr>
        <w:tab/>
      </w:r>
      <w:r>
        <w:rPr>
          <w:rFonts w:ascii="Arial" w:cs="Arial" w:eastAsia="Arial" w:hAnsi="Arial"/>
          <w:sz w:val="21"/>
          <w:szCs w:val="21"/>
          <w:color w:val="auto"/>
        </w:rPr>
        <w:t>Description</w:t>
      </w:r>
    </w:p>
    <w:p>
      <w:pPr>
        <w:spacing w:after="0" w:line="301" w:lineRule="exact"/>
        <w:rPr>
          <w:sz w:val="20"/>
          <w:szCs w:val="20"/>
          <w:color w:val="auto"/>
        </w:rPr>
      </w:pPr>
    </w:p>
    <w:p>
      <w:pPr>
        <w:ind w:left="560"/>
        <w:spacing w:after="0"/>
        <w:tabs>
          <w:tab w:leader="none" w:pos="1760" w:val="left"/>
          <w:tab w:leader="none" w:pos="2280" w:val="left"/>
        </w:tabs>
        <w:rPr>
          <w:sz w:val="20"/>
          <w:szCs w:val="20"/>
          <w:color w:val="auto"/>
        </w:rPr>
      </w:pPr>
      <w:r>
        <w:rPr>
          <w:rFonts w:ascii="Arial" w:cs="Arial" w:eastAsia="Arial" w:hAnsi="Arial"/>
          <w:sz w:val="22"/>
          <w:szCs w:val="22"/>
          <w:u w:val="single" w:color="auto"/>
          <w:color w:val="3051F2"/>
        </w:rPr>
        <w:t>99.1</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1"/>
          <w:szCs w:val="21"/>
          <w:u w:val="single" w:color="auto"/>
          <w:color w:val="3051F2"/>
        </w:rPr>
        <w:t>Press release issued by ConocoPhillips on April 30, 2026.</w:t>
      </w:r>
    </w:p>
    <w:p>
      <w:pPr>
        <w:spacing w:after="0" w:line="287" w:lineRule="exact"/>
        <w:rPr>
          <w:sz w:val="20"/>
          <w:szCs w:val="20"/>
          <w:color w:val="auto"/>
        </w:rPr>
      </w:pPr>
    </w:p>
    <w:p>
      <w:pPr>
        <w:ind w:left="560"/>
        <w:spacing w:after="0"/>
        <w:tabs>
          <w:tab w:leader="none" w:pos="1760" w:val="left"/>
          <w:tab w:leader="none" w:pos="2280" w:val="left"/>
        </w:tabs>
        <w:rPr>
          <w:sz w:val="20"/>
          <w:szCs w:val="20"/>
          <w:color w:val="auto"/>
        </w:rPr>
      </w:pPr>
      <w:r>
        <w:rPr>
          <w:rFonts w:ascii="Arial" w:cs="Arial" w:eastAsia="Arial" w:hAnsi="Arial"/>
          <w:sz w:val="22"/>
          <w:szCs w:val="22"/>
          <w:u w:val="single" w:color="auto"/>
          <w:color w:val="3051F2"/>
        </w:rPr>
        <w:t>99.2</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1"/>
          <w:szCs w:val="21"/>
          <w:u w:val="single" w:color="auto"/>
          <w:color w:val="3051F2"/>
        </w:rPr>
        <w:t>Supplemental financial information.</w:t>
      </w:r>
    </w:p>
    <w:p>
      <w:pPr>
        <w:spacing w:after="0" w:line="274" w:lineRule="exact"/>
        <w:rPr>
          <w:sz w:val="20"/>
          <w:szCs w:val="20"/>
          <w:color w:val="auto"/>
        </w:rPr>
      </w:pPr>
    </w:p>
    <w:p>
      <w:pPr>
        <w:ind w:left="560"/>
        <w:spacing w:after="0"/>
        <w:tabs>
          <w:tab w:leader="none" w:pos="1760" w:val="left"/>
          <w:tab w:leader="none" w:pos="22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Cover Page Interactive Data File (formatted as Inline XBRL and filed herewith).</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22"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7260"/>
        <w:spacing w:after="0"/>
        <w:rPr>
          <w:sz w:val="20"/>
          <w:szCs w:val="20"/>
          <w:color w:val="auto"/>
        </w:rPr>
      </w:pPr>
      <w:r>
        <w:rPr>
          <w:rFonts w:ascii="Arial" w:cs="Arial" w:eastAsia="Arial" w:hAnsi="Arial"/>
          <w:sz w:val="22"/>
          <w:szCs w:val="22"/>
          <w:b w:val="1"/>
          <w:bCs w:val="1"/>
          <w:color w:val="auto"/>
        </w:rPr>
        <w:t>CONOCOPHILLIPS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5220"/>
        <w:spacing w:after="0"/>
        <w:rPr>
          <w:sz w:val="20"/>
          <w:szCs w:val="20"/>
          <w:color w:val="auto"/>
        </w:rPr>
      </w:pPr>
      <w:r>
        <w:rPr>
          <w:rFonts w:ascii="Arial" w:cs="Arial" w:eastAsia="Arial" w:hAnsi="Arial"/>
          <w:sz w:val="22"/>
          <w:szCs w:val="22"/>
          <w:i w:val="1"/>
          <w:iCs w:val="1"/>
          <w:color w:val="auto"/>
        </w:rPr>
        <w:t>/s/ Kontessa Haynes-Welsh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19050</wp:posOffset>
            </wp:positionV>
            <wp:extent cx="38144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1" w:lineRule="exact"/>
        <w:rPr>
          <w:sz w:val="20"/>
          <w:szCs w:val="20"/>
          <w:color w:val="auto"/>
        </w:rPr>
      </w:pPr>
    </w:p>
    <w:p>
      <w:pPr>
        <w:jc w:val="center"/>
        <w:ind w:left="5220"/>
        <w:spacing w:after="0"/>
        <w:rPr>
          <w:sz w:val="20"/>
          <w:szCs w:val="20"/>
          <w:color w:val="auto"/>
        </w:rPr>
      </w:pPr>
      <w:r>
        <w:rPr>
          <w:rFonts w:ascii="Arial" w:cs="Arial" w:eastAsia="Arial" w:hAnsi="Arial"/>
          <w:sz w:val="22"/>
          <w:szCs w:val="22"/>
          <w:color w:val="auto"/>
        </w:rPr>
        <w:t>Kontessa Haynes-Welsh</w:t>
      </w:r>
    </w:p>
    <w:p>
      <w:pPr>
        <w:spacing w:after="0" w:line="31" w:lineRule="exact"/>
        <w:rPr>
          <w:sz w:val="20"/>
          <w:szCs w:val="20"/>
          <w:color w:val="auto"/>
        </w:rPr>
      </w:pPr>
    </w:p>
    <w:p>
      <w:pPr>
        <w:jc w:val="center"/>
        <w:ind w:left="5220"/>
        <w:spacing w:after="0"/>
        <w:rPr>
          <w:sz w:val="20"/>
          <w:szCs w:val="20"/>
          <w:color w:val="auto"/>
        </w:rPr>
      </w:pPr>
      <w:r>
        <w:rPr>
          <w:rFonts w:ascii="Arial" w:cs="Arial" w:eastAsia="Arial" w:hAnsi="Arial"/>
          <w:sz w:val="22"/>
          <w:szCs w:val="22"/>
          <w:color w:val="auto"/>
        </w:rPr>
        <w:t>Vice President and Controller</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22"/>
          <w:szCs w:val="22"/>
          <w:color w:val="auto"/>
        </w:rPr>
        <w:t>April 30,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935"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ConocoPhillips announces first-quarter 2026 results and quarterly dividend</w:t>
      </w:r>
    </w:p>
    <w:p>
      <w:pPr>
        <w:spacing w:after="0" w:line="200" w:lineRule="exact"/>
        <w:rPr>
          <w:sz w:val="20"/>
          <w:szCs w:val="20"/>
          <w:color w:val="auto"/>
        </w:rPr>
      </w:pPr>
    </w:p>
    <w:p>
      <w:pPr>
        <w:spacing w:after="0" w:line="217"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Reported first-quarter 2026 earnings per share of $1.78 and adjusted earnings per share of $1.89.</w:t>
      </w:r>
    </w:p>
    <w:p>
      <w:pPr>
        <w:spacing w:after="0" w:line="17" w:lineRule="exact"/>
        <w:rPr>
          <w:rFonts w:ascii="Arial" w:cs="Arial" w:eastAsia="Arial" w:hAnsi="Arial"/>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cash provided by operating activities of $4.3 billion and cash from operations (CFO) of $5.4 billion.</w:t>
      </w:r>
    </w:p>
    <w:p>
      <w:pPr>
        <w:spacing w:after="0" w:line="13" w:lineRule="exact"/>
        <w:rPr>
          <w:rFonts w:ascii="Arial" w:cs="Arial" w:eastAsia="Arial" w:hAnsi="Arial"/>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Declared second-quarter ordinary dividend of $0.84 per share.</w:t>
      </w: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0"/>
          <w:szCs w:val="20"/>
          <w:color w:val="auto"/>
        </w:rPr>
        <w:t>Updated full-year production and capital guidance; operating cost guidance unchanged.</w:t>
      </w:r>
    </w:p>
    <w:p>
      <w:pPr>
        <w:spacing w:after="0" w:line="387" w:lineRule="exact"/>
        <w:rPr>
          <w:sz w:val="20"/>
          <w:szCs w:val="20"/>
          <w:color w:val="auto"/>
        </w:rPr>
      </w:pPr>
    </w:p>
    <w:p>
      <w:pPr>
        <w:ind w:right="120"/>
        <w:spacing w:after="0" w:line="258" w:lineRule="auto"/>
        <w:rPr>
          <w:sz w:val="20"/>
          <w:szCs w:val="20"/>
          <w:color w:val="auto"/>
        </w:rPr>
      </w:pPr>
      <w:r>
        <w:rPr>
          <w:rFonts w:ascii="Arial" w:cs="Arial" w:eastAsia="Arial" w:hAnsi="Arial"/>
          <w:sz w:val="20"/>
          <w:szCs w:val="20"/>
          <w:color w:val="auto"/>
        </w:rPr>
        <w:t>HOUSTON—April 30, 2026—ConocoPhillips (NYSE: COP) today reported first-quarter 2026 earnings of $2.2 billion, or $1.78 per share, compared with first-quarter 2025 earnings of $2.8 billion, or $ 2.23 per share. Excluding special items, first-quarter 2026 adjusted earnings were $2.3 billion, or $1.89 per share, compared with first-quarter 2025 adjusted earnings of $2.7 billion, or $2.09 per share. Special items for the quarter primarily related to pending claims and settlements and a loss on a contingent liability measurement.</w:t>
      </w:r>
    </w:p>
    <w:p>
      <w:pPr>
        <w:spacing w:after="0" w:line="195" w:lineRule="exact"/>
        <w:rPr>
          <w:sz w:val="20"/>
          <w:szCs w:val="20"/>
          <w:color w:val="auto"/>
        </w:rPr>
      </w:pPr>
    </w:p>
    <w:p>
      <w:pPr>
        <w:ind w:right="60"/>
        <w:spacing w:after="0"/>
        <w:rPr>
          <w:sz w:val="20"/>
          <w:szCs w:val="20"/>
          <w:color w:val="auto"/>
        </w:rPr>
      </w:pPr>
      <w:r>
        <w:rPr>
          <w:rFonts w:ascii="Arial" w:cs="Arial" w:eastAsia="Arial" w:hAnsi="Arial"/>
          <w:sz w:val="20"/>
          <w:szCs w:val="20"/>
          <w:color w:val="auto"/>
        </w:rPr>
        <w:t>“Our thoughts are with our team, partners and everyone impacted by the ongoing conflict in the Middle East,” said Ryan Lance, chairman and chief executive officer. “Amid ongoing macro volatility, ConocoPhillips delivered another quarter of strong financial and operational performance. We remain focused on delivering our value proposition: operating safely; maximizing our returns on and of capital, reiterating our objective to return 45% of CFO to shareholders this year; and driving peer-leading free cash flow growth.”</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highlights and recent announcements</w:t>
      </w:r>
    </w:p>
    <w:p>
      <w:pPr>
        <w:spacing w:after="0" w:line="204" w:lineRule="exact"/>
        <w:rPr>
          <w:sz w:val="20"/>
          <w:szCs w:val="20"/>
          <w:color w:val="auto"/>
        </w:rPr>
      </w:pPr>
    </w:p>
    <w:p>
      <w:pPr>
        <w:ind w:left="660" w:right="520" w:hanging="328"/>
        <w:spacing w:after="0" w:line="255"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Delivered total company and Lower 48 production of 2,309 thousand barrels of oil equivalent per day (MBOED) and 1,453 MBOED, respectively.</w:t>
      </w:r>
    </w:p>
    <w:p>
      <w:pPr>
        <w:spacing w:after="0" w:line="1" w:lineRule="exact"/>
        <w:rPr>
          <w:rFonts w:ascii="Arial" w:cs="Arial" w:eastAsia="Arial" w:hAnsi="Arial"/>
          <w:sz w:val="20"/>
          <w:szCs w:val="20"/>
          <w:color w:val="auto"/>
        </w:rPr>
      </w:pPr>
    </w:p>
    <w:p>
      <w:pPr>
        <w:ind w:left="660" w:right="500" w:hanging="328"/>
        <w:spacing w:after="0" w:line="24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Distributed $2.0 billion to shareholders, including $1.0 billion through share repurchases and $1.0 billion through the ordinary dividend.</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Conducted successful Willow winter construction season with project achieving 50% completion.</w:t>
      </w:r>
    </w:p>
    <w:p>
      <w:pPr>
        <w:spacing w:after="0" w:line="13" w:lineRule="exact"/>
        <w:rPr>
          <w:rFonts w:ascii="Arial" w:cs="Arial" w:eastAsia="Arial" w:hAnsi="Arial"/>
          <w:sz w:val="20"/>
          <w:szCs w:val="20"/>
          <w:color w:val="auto"/>
        </w:rPr>
      </w:pPr>
    </w:p>
    <w:p>
      <w:pPr>
        <w:ind w:left="660" w:right="320" w:hanging="328"/>
        <w:spacing w:after="0" w:line="24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Completed four-well Alaska winter exploration program with evaluation underway and secured high-priority acreage in NPR-A lease sale.</w:t>
      </w:r>
    </w:p>
    <w:p>
      <w:pPr>
        <w:spacing w:after="0" w:line="1" w:lineRule="exact"/>
        <w:rPr>
          <w:rFonts w:ascii="Arial" w:cs="Arial" w:eastAsia="Arial" w:hAnsi="Arial"/>
          <w:sz w:val="20"/>
          <w:szCs w:val="20"/>
          <w:color w:val="auto"/>
        </w:rPr>
      </w:pPr>
    </w:p>
    <w:p>
      <w:pPr>
        <w:ind w:left="660" w:right="800" w:hanging="328"/>
        <w:spacing w:after="0" w:line="24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Enhanced Lower 48 capital efficiency by more than doubling percentage of 3-mile plus lateral length wells drilled compared with prior year.</w:t>
      </w:r>
    </w:p>
    <w:p>
      <w:pPr>
        <w:spacing w:after="0" w:line="1" w:lineRule="exact"/>
        <w:rPr>
          <w:rFonts w:ascii="Arial" w:cs="Arial" w:eastAsia="Arial" w:hAnsi="Arial"/>
          <w:sz w:val="20"/>
          <w:szCs w:val="20"/>
          <w:color w:val="auto"/>
        </w:rPr>
      </w:pPr>
    </w:p>
    <w:p>
      <w:pPr>
        <w:ind w:left="660" w:right="120" w:hanging="328"/>
        <w:spacing w:after="0" w:line="253"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Executed LNG tolling agreement for third-party operated gas volumes in Equatorial Guinea, extending life of LNG facility well into the next decade.</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Ended the quarter with cash and short-term investments of $6.7 billion and long-term investments of $1.2 billion.</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Quarterly dividend</w:t>
      </w:r>
    </w:p>
    <w:p>
      <w:pPr>
        <w:spacing w:after="0" w:line="218" w:lineRule="exact"/>
        <w:rPr>
          <w:sz w:val="20"/>
          <w:szCs w:val="20"/>
          <w:color w:val="auto"/>
        </w:rPr>
      </w:pPr>
    </w:p>
    <w:p>
      <w:pPr>
        <w:ind w:right="60"/>
        <w:spacing w:after="0" w:line="271" w:lineRule="auto"/>
        <w:rPr>
          <w:sz w:val="20"/>
          <w:szCs w:val="20"/>
          <w:color w:val="auto"/>
        </w:rPr>
      </w:pPr>
      <w:r>
        <w:rPr>
          <w:rFonts w:ascii="Arial" w:cs="Arial" w:eastAsia="Arial" w:hAnsi="Arial"/>
          <w:sz w:val="20"/>
          <w:szCs w:val="20"/>
          <w:color w:val="auto"/>
        </w:rPr>
        <w:t>ConocoPhillips declared a second-quarter ordinary dividend of $0.84 per share, payable June 1, 2026, to stockholders of record at the close of business on May 11, 2026.</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review</w:t>
      </w:r>
    </w:p>
    <w:p>
      <w:pPr>
        <w:spacing w:after="0" w:line="204" w:lineRule="exact"/>
        <w:rPr>
          <w:sz w:val="20"/>
          <w:szCs w:val="20"/>
          <w:color w:val="auto"/>
        </w:rPr>
      </w:pPr>
    </w:p>
    <w:p>
      <w:pPr>
        <w:ind w:right="320"/>
        <w:spacing w:after="0" w:line="259" w:lineRule="auto"/>
        <w:rPr>
          <w:sz w:val="20"/>
          <w:szCs w:val="20"/>
          <w:color w:val="auto"/>
        </w:rPr>
      </w:pPr>
      <w:r>
        <w:rPr>
          <w:rFonts w:ascii="Arial" w:cs="Arial" w:eastAsia="Arial" w:hAnsi="Arial"/>
          <w:sz w:val="20"/>
          <w:szCs w:val="20"/>
          <w:color w:val="auto"/>
        </w:rPr>
        <w:t>Production for the first quarter of 2026 was 2,309 MBOED, a decrease of 80 MBOED from the same period a year ago. After adjusting for closed acquisitions and dispositions, first-quarter 2026 production decreased 14 MBOED or 1% from the same period a year ago. Organic growth from Lower 48 was more than offset by downtime, which includes the impact of the Middle East conflict on Qatar, and higher Surmont royalties.</w:t>
      </w:r>
    </w:p>
    <w:p>
      <w:pPr>
        <w:sectPr>
          <w:pgSz w:w="11900" w:h="16838" w:orient="portrait"/>
          <w:cols w:equalWidth="0" w:num="1">
            <w:col w:w="11240"/>
          </w:cols>
          <w:pgMar w:left="320" w:top="92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i w:val="1"/>
          <w:iCs w:val="1"/>
          <w:color w:val="auto"/>
        </w:rPr>
        <w:t>ConocoPhillips announces first-quarter 2026 results and quarterly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Lower 48 delivered production of 1,453 MBOED, including 698 MBOED from the Delaware Basin, 200 MBOED from the Midland Basin, 367 MBOED from the Eagle Ford and 183 MBOED from the Bakken.</w:t>
      </w:r>
    </w:p>
    <w:p>
      <w:pPr>
        <w:spacing w:after="0" w:line="127"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Earnings and adjusted earnings decreased from the first quarter of 2025, primarily due to lower gas prices in Permian and lower volumes, partially offset by lower costs. Earnings were further impacted by special items (see Table 1). The company’s total average realized price was $50.36 per BOE, 6% lower than the $53.34 per BOE realized in the first quarter of 2025.</w:t>
      </w:r>
    </w:p>
    <w:p>
      <w:pPr>
        <w:spacing w:after="0" w:line="151" w:lineRule="exact"/>
        <w:rPr>
          <w:sz w:val="20"/>
          <w:szCs w:val="20"/>
          <w:color w:val="auto"/>
        </w:rPr>
      </w:pPr>
    </w:p>
    <w:p>
      <w:pPr>
        <w:ind w:right="40"/>
        <w:spacing w:after="0" w:line="290" w:lineRule="auto"/>
        <w:rPr>
          <w:sz w:val="20"/>
          <w:szCs w:val="20"/>
          <w:color w:val="auto"/>
        </w:rPr>
      </w:pPr>
      <w:r>
        <w:rPr>
          <w:rFonts w:ascii="Arial" w:cs="Arial" w:eastAsia="Arial" w:hAnsi="Arial"/>
          <w:sz w:val="19"/>
          <w:szCs w:val="19"/>
          <w:color w:val="auto"/>
        </w:rPr>
        <w:t>For the quarter, cash provided by operating activities was $4.3 billion. Excluding a $1.1 billion change in operating working capital, ConocoPhillips generated CFO of $5.4 billion. The company funded $ 2.9 billion of capital expenditures and investments, repurchased $1.0 billion of shares, paid $1.0 billion in ordinary dividends and retired debt of $0.1 billion at maturity.</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258"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color w:val="auto"/>
        </w:rPr>
        <w:t>For the second quarter, the company is excluding Qatar from production guidance, given uncertainty surrounding the conflict in the Middle East. Second-quarter production is expected to be 2.185 to 2.215 million barrels of oil equivalent per day (MMBOED).</w:t>
      </w:r>
    </w:p>
    <w:p>
      <w:pPr>
        <w:spacing w:after="0" w:line="205"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color w:val="auto"/>
        </w:rPr>
        <w:t>Full-year production is expected to be 2.295 to 2.325 MMBOED. This reflects a 20 MBOED annual adjustment for Qatar, given the exclusion of Qatar production from second-quarter guidance, as well as a 15 MBOED annual royalty rate adjustment at Surmont due to higher oil prices.</w:t>
      </w:r>
    </w:p>
    <w:p>
      <w:pPr>
        <w:spacing w:after="0" w:line="205" w:lineRule="exact"/>
        <w:rPr>
          <w:sz w:val="20"/>
          <w:szCs w:val="20"/>
          <w:color w:val="auto"/>
        </w:rPr>
      </w:pPr>
    </w:p>
    <w:p>
      <w:pPr>
        <w:ind w:right="600"/>
        <w:spacing w:after="0" w:line="271" w:lineRule="auto"/>
        <w:rPr>
          <w:sz w:val="20"/>
          <w:szCs w:val="20"/>
          <w:color w:val="auto"/>
        </w:rPr>
      </w:pPr>
      <w:r>
        <w:rPr>
          <w:rFonts w:ascii="Arial" w:cs="Arial" w:eastAsia="Arial" w:hAnsi="Arial"/>
          <w:sz w:val="20"/>
          <w:szCs w:val="20"/>
          <w:color w:val="auto"/>
        </w:rPr>
        <w:t>Capital spending for 2026 is expected to be $12 to $12.5 billion, including incremental Permian activity. The range reflects uncertainty around the macro environment and North Field East and North Field South capital timing in Qatar.</w:t>
      </w:r>
    </w:p>
    <w:p>
      <w:pPr>
        <w:spacing w:after="0" w:line="345"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 xml:space="preserve">ConocoPhillips will host a conference call today at 12:00 p.m. Eastern time to discuss this announcement. To listen to the call and view related presentation materials and supplemental information, go to </w:t>
      </w:r>
      <w:r>
        <w:rPr>
          <w:rFonts w:ascii="Arial" w:cs="Arial" w:eastAsia="Arial" w:hAnsi="Arial"/>
          <w:sz w:val="20"/>
          <w:szCs w:val="20"/>
          <w:i w:val="1"/>
          <w:iCs w:val="1"/>
          <w:color w:val="auto"/>
        </w:rPr>
        <w:t>www.conocophillips.com/investor</w:t>
      </w:r>
      <w:r>
        <w:rPr>
          <w:rFonts w:ascii="Arial" w:cs="Arial" w:eastAsia="Arial" w:hAnsi="Arial"/>
          <w:sz w:val="20"/>
          <w:szCs w:val="20"/>
          <w:color w:val="auto"/>
        </w:rPr>
        <w:t>. A recording and transcript of the call will be posted afterward.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ConocoPhillips</w:t>
      </w:r>
    </w:p>
    <w:p>
      <w:pPr>
        <w:spacing w:after="0" w:line="204"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As a leading global exploration and production company, ConocoPhillips is uniquely equipped to deliver reliable, responsibly produced oil and gas. Our deep, durable and diverse portfolio is built to meet growing global energy demands. Together with our high-performing operations and continuously advancing technology, we are well positioned to deliver strong, consistent financial results, now and for decades to come. Visit us at www.conocophillips.com.</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281-293-1149</w:t>
      </w:r>
    </w:p>
    <w:p>
      <w:pPr>
        <w:spacing w:after="0"/>
        <w:rPr>
          <w:sz w:val="20"/>
          <w:szCs w:val="20"/>
          <w:color w:val="auto"/>
        </w:rPr>
      </w:pPr>
      <w:r>
        <w:rPr>
          <w:rFonts w:ascii="Arial" w:cs="Arial" w:eastAsia="Arial" w:hAnsi="Arial"/>
          <w:sz w:val="20"/>
          <w:szCs w:val="20"/>
          <w:i w:val="1"/>
          <w:iCs w:val="1"/>
          <w:color w:val="auto"/>
        </w:rPr>
        <w:t>media@conocophillips.com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281-293-5000</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investor.relations@conocophillips.com</w:t>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i w:val="1"/>
          <w:iCs w:val="1"/>
          <w:color w:val="auto"/>
        </w:rPr>
        <w:t>ConocoPhillips announces first-quarter 2026 results and quarterly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b w:val="1"/>
          <w:bCs w:val="1"/>
          <w:u w:val="single" w:color="auto"/>
          <w:color w:val="auto"/>
        </w:rPr>
        <w:t>CAUTIONARY STATEMENT FOR THE PURPOSES OF THE "SAFE HARBOR" PROVISIONS OF THE PRIVATE SECURITIES LITIGATION REFORM ACT OF 1995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news release contains forward-looking statements as defined under the federal securities laws. Forward-looking statements relate to future events, including, without limitation, statements regarding our future financial position, business strategy, budgets, projected revenues, costs and plans, and objectives of management for future operations. Words and phrases such as “ambition,” “anticipate,” “believe,” “budget,” “continue,” “could,” “effort,” “estimate,” “expect,” “forecast,” “goal,” “guidance,” “intend,” “may,” “objective,” “outlook,” “plan,” “potential,” “predict,” “projection,” “seek,” “should,” “target,” “will,” “would,” and other similar words can be used to identify forward-looking statements. However, the absence of these words does not mean that the statements are not forward-looking. Where, in any forward-looking statement, the company expresses an expectation or belief as to future results, such expectation or belief is expressed in good faith and believed to be reasonable at the time such forward-looking statement is made. However, these statements are not guarantees of future performance and involve certain risks, uncertainties and other factors beyond our control. Therefore, actual outcomes and results may differ materially from what is expressed or forecast in the forward-looking statements. Factors that could cause actual results or events to differ materially from what is presented include, but are not limited to, the following: effects of volatile commodity prices, including prolonged periods of low commodity prices, which may adversely impact our operating results and our ability to execute on our strategy and could result in recognition of impairment charges on our long-lived assets, leaseholds and nonconsolidated equity investments; global and regional changes in the demand, supply, prices, differentials or other market conditions affecting oil and gas, including changes as a result of any ongoing military conflict and the global response to such conflict, security threats on facilities and infrastructure, global health crises, the imposition or lifting of crude oil production quotas or other actions that might be imposed by OPEC and other producing countries or the resulting company or third-party actions in response to such changes; the potential for insufficient liquidity or other factors that could impact our ability to repurchase shares and declare and pay dividends; potential failures or delays in achieving expected reserve or production levels from existing and future oil and gas developments, including due to operating hazards, drilling risks and the inherent uncertainties in predicting reserves and reservoir performance; reductions in our reserve replacement rates, whether as a result of significant declines in commodity prices or otherwise; unsuccessful exploratory drilling activities or the inability to obtain access to exploratory acreage; failure to progress or complete announced and future development plans related to constructing, modifying or operating E&amp;P and LNG facilities, or unexpected changes in costs, inflationary pressures or technical equipment related to such plans; significant operational or investment changes imposed by legislative and regulatory initiatives and international agreements addressing environmental concerns, including initiatives addressing the impact of global climate change, such as limiting or reducing GHG emissions, regulations concerning hydraulic fracturing, methane emissions, flaring or water disposal and prohibitions on commodity exports; substantial investment in and increased adoption of competing or alternative energy sources; risks, uncertainties and high costs that may prevent us from successfully executing on our Climate-related Risk Strategy; lack or inadequacy of, or disruptions in reliable transportation for our crude oil, bitumen, natural gas, LNG and NGLs; inability to timely obtain or maintain permits, including those necessary for construction, drilling and/or development, or inability to make capital expenditures required to maintain compliance with any necessary permits or applicable laws or regulations; potential disruption or interruption of our operations and any resulting consequences due to accidents, extraordinary weather events, supply chain disruptions, civil unrest, political events, war, terrorism, cybersecurity threats or information technology failures, constraints or disruptions; liability for remedial actions, including removal and reclamation obligations, under existing or future environmental regulations and litigation; liability resulting from pending or future litigation or our failure to comply with applicable laws and regulations; general domestic and international economic, political and diplomatic developments, including deterioration of international trade relationships, the imposition of trade restrictions or tariffs relating to commodities and material or products (such as aluminum and steel) used in the operation of our business, expropriation of assets, changes in governmental policies relating to commodity pricing, including the imposition of price caps, sanctions or other adverse regulations or taxation policies; competition and consolidation in the oil and gas E&amp;P industry, including competition for sources of supply, services, personnel and equipment; any limitations on our access to capital or increase in our cost of capital or insurance, including as a result of illiquidity, changes or uncertainty in domestic or international financial markets, foreign currency exchange rate fluctuations or investment sentiment; challenges or delays to our execution of, or successful implementation of any asset dispositions or acquisitions we elect to pursue; potential disruption of our operations, including the diversion of management time and attention; our inability to realize anticipated cost savings or capital expenditure reductions; difficulties integrating acquired businesses and technologies; or other unanticipated changes; our inability to deploy the net proceeds from any asset dispositions that are pending or that we elect to undertake in the future in the manner and timeframe we anticipate, if at all; the operation, financing and management of risks of our joint ventures; the ability of our customers and other contractual counterparties to satisfy their obligations to us, including our ability to collect payments when due from the government of Venezuela or PDVSA; uncertainty as to the long-term value of our common stock; and other economic, business, competitive and/or regulatory factors affecting our business generally as set forth in our filings with the Securities and Exchange Commission. Unless legally required, ConocoPhillips expressly disclaims any obligation to update any forward-looking statements, whether as a result of new information, future events or otherwise.</w:t>
      </w:r>
    </w:p>
    <w:p>
      <w:pPr>
        <w:spacing w:after="0" w:line="23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i w:val="1"/>
          <w:iCs w:val="1"/>
          <w:color w:val="auto"/>
        </w:rPr>
        <w:t xml:space="preserve">Cautionary Note to U.S. Investors </w:t>
      </w:r>
      <w:r>
        <w:rPr>
          <w:rFonts w:ascii="Arial" w:cs="Arial" w:eastAsia="Arial" w:hAnsi="Arial"/>
          <w:sz w:val="16"/>
          <w:szCs w:val="16"/>
          <w:i w:val="1"/>
          <w:iCs w:val="1"/>
          <w:color w:val="auto"/>
        </w:rPr>
        <w:t>– The SEC permits oil and gas companies, in their filings with the SEC, to disclose only proved, probable and possible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reserves. We may use the term “resource” in this news release that the SEC’s guidelines prohibit us from including in filings with the SEC. U.S. investors are urged to consider closely the oil and gas disclosures in our Form 10-K and other reports and filings with the SEC. Copies are available from the SEC and from the ConocoPhillips website.</w:t>
      </w:r>
    </w:p>
    <w:p>
      <w:pPr>
        <w:spacing w:after="0" w:line="122"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b w:val="1"/>
          <w:bCs w:val="1"/>
          <w:i w:val="1"/>
          <w:iCs w:val="1"/>
          <w:color w:val="auto"/>
        </w:rPr>
        <w:t xml:space="preserve">Use of Non-GAAP Financial Information </w:t>
      </w:r>
      <w:r>
        <w:rPr>
          <w:rFonts w:ascii="Arial" w:cs="Arial" w:eastAsia="Arial" w:hAnsi="Arial"/>
          <w:sz w:val="16"/>
          <w:szCs w:val="16"/>
          <w:i w:val="1"/>
          <w:iCs w:val="1"/>
          <w:color w:val="auto"/>
        </w:rPr>
        <w:t>– To supplement the presentation of the company’s financial results prepared in accordance with U.S.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accepted accounting principles (GAAP), this news release and the accompanying supplemental financial information contain certain financial measures that are not prepared in accordance with GAAP, including adjusted earnings (calculated on a consolidated and on a segment-level basis), adjusted earnings per share (EPS), free cash flow (FCF) and cash from operations (CFO).</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i w:val="1"/>
          <w:iCs w:val="1"/>
          <w:color w:val="auto"/>
        </w:rPr>
        <w:t>The company believes that the non-GAAP measure adjusted earnings (both on an aggregate and a per-share basis) is useful to investors to help facilitate comparisons of the company’s operating performance associated with the company’s core business operations across periods on a consistent basis and with the performance and cost structures of peer companies by excluding items that do not directly relate to the company’s core business operations. Adjusted earnings is defined as earnings removing the impact of special items.</w:t>
      </w:r>
    </w:p>
    <w:p>
      <w:pPr>
        <w:sectPr>
          <w:pgSz w:w="11900" w:h="16838" w:orient="portrait"/>
          <w:cols w:equalWidth="0" w:num="1">
            <w:col w:w="11220"/>
          </w:cols>
          <w:pgMar w:left="320" w:top="127"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i w:val="1"/>
          <w:iCs w:val="1"/>
          <w:color w:val="auto"/>
        </w:rPr>
        <w:t>ConocoPhillips announces first-quarter 2026 results and quarterly dividend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Adjusted EPS is a measure of the company’s diluted net earnings per share excluding special items. The company further believes that the non-GAAP measure CFO is useful to investors to help understand changes in cash provided by operating activities excluding the timing effects associated with operating working capital changes across periods on a consistent basis and for comparison with the performance of peer companies. The company believes that the above-mentioned non-GAAP measures, when viewed in combination with the company’s results prepared in accordance with GAAP, provides a more complete understanding of the factors and trends affecting the company’s business and performance. The company’s Board of Directors and management also use these non-GAAP measures to analyze the company’s operating performance across periods when overseeing and managing the company’s business.</w:t>
      </w:r>
    </w:p>
    <w:p>
      <w:pPr>
        <w:spacing w:after="0" w:line="141"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Each of the non-GAAP measures included in this news release and the accompanying supplemental financial information has limitations as an analytical tool and should not be considered in isolation or as a substitute for an analysis of the company’s results calculated in accordance with GAAP. In addition, because not all companies use identical calculations, the company’s presentation of non-GAAP measures in this news release and the accompanying supplemental financial information may not be comparable to similarly titled measures disclosed by other companies, including companies in our industry. The company may also change the calculation of any of the non-GAAP measures included in this news release and the accompanying supplemental financial information from time to time in light of its then existing operations to include other adjustments that may impact its operations.</w:t>
      </w:r>
    </w:p>
    <w:p>
      <w:pPr>
        <w:spacing w:after="0" w:line="12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i w:val="1"/>
          <w:iCs w:val="1"/>
          <w:color w:val="auto"/>
        </w:rPr>
        <w:t>Reconciliations of each non-GAAP measure presented in this news release to the most directly comparable financial measure calculated in accordance with GAAP are included in the release.</w:t>
      </w:r>
    </w:p>
    <w:p>
      <w:pPr>
        <w:spacing w:after="0" w:line="120"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auto"/>
        </w:rPr>
        <w:t>Other Terms – This news release also may contain the term pro forma underlying production. Pro forma underlying production reflects the impact of closed acquisitions and closed dispositions as of March 31, 2026. The impact of closed acquisitions and dispositions assumes a closing date of January 1, 2025. The company believes that underlying production is useful to investors to compare production reflecting the impact of closed acquisitions and dispositions on a consistent go-forward basis across periods and with peer companies. Return of capital is defined as the total of the ordinary dividend and share repurchases. References in the release to project capital exclude capitalized interest and references to earnings refer to net income.</w:t>
      </w:r>
    </w:p>
    <w:p>
      <w:pPr>
        <w:sectPr>
          <w:pgSz w:w="11900" w:h="16838" w:orient="portrait"/>
          <w:cols w:equalWidth="0" w:num="1">
            <w:col w:w="11220"/>
          </w:cols>
          <w:pgMar w:left="320" w:top="127"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i w:val="1"/>
          <w:iCs w:val="1"/>
          <w:color w:val="auto"/>
        </w:rPr>
        <w:t>ConocoPhillips announces first-quarter 2026 results and quarterly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713740</wp:posOffset>
            </wp:positionV>
            <wp:extent cx="7089140" cy="1826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82626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ConocoPhillips</w:t>
      </w:r>
    </w:p>
    <w:p>
      <w:pPr>
        <w:spacing w:after="0" w:line="40" w:lineRule="exact"/>
        <w:rPr>
          <w:sz w:val="20"/>
          <w:szCs w:val="20"/>
          <w:color w:val="auto"/>
        </w:rPr>
      </w:pPr>
    </w:p>
    <w:p>
      <w:pPr>
        <w:ind w:left="40" w:right="2980"/>
        <w:spacing w:after="0" w:line="282" w:lineRule="auto"/>
        <w:rPr>
          <w:sz w:val="20"/>
          <w:szCs w:val="20"/>
          <w:color w:val="auto"/>
        </w:rPr>
      </w:pPr>
      <w:r>
        <w:rPr>
          <w:rFonts w:ascii="Arial" w:cs="Arial" w:eastAsia="Arial" w:hAnsi="Arial"/>
          <w:sz w:val="18"/>
          <w:szCs w:val="18"/>
          <w:b w:val="1"/>
          <w:bCs w:val="1"/>
          <w:color w:val="auto"/>
        </w:rPr>
        <w:t xml:space="preserve">Table 1: Reconciliation of earnings to adjusted earnings </w:t>
      </w:r>
      <w:r>
        <w:rPr>
          <w:rFonts w:ascii="Arial" w:cs="Arial" w:eastAsia="Arial" w:hAnsi="Arial"/>
          <w:sz w:val="18"/>
          <w:szCs w:val="18"/>
          <w:color w:val="auto"/>
        </w:rPr>
        <w:t>$ millions, except as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1Q26</w:t>
            </w:r>
          </w:p>
        </w:tc>
        <w:tc>
          <w:tcPr>
            <w:tcW w:w="7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r>
      <w:tr>
        <w:trPr>
          <w:trHeight w:val="144"/>
        </w:trPr>
        <w:tc>
          <w:tcPr>
            <w:tcW w:w="4280" w:type="dxa"/>
            <w:vAlign w:val="bottom"/>
          </w:tcPr>
          <w:p>
            <w:pPr>
              <w:spacing w:after="0"/>
              <w:rPr>
                <w:sz w:val="12"/>
                <w:szCs w:val="12"/>
                <w:color w:val="auto"/>
              </w:rPr>
            </w:pPr>
          </w:p>
        </w:tc>
        <w:tc>
          <w:tcPr>
            <w:tcW w:w="660" w:type="dxa"/>
            <w:vAlign w:val="bottom"/>
          </w:tcPr>
          <w:p>
            <w:pPr>
              <w:ind w:left="260"/>
              <w:spacing w:after="0"/>
              <w:rPr>
                <w:sz w:val="20"/>
                <w:szCs w:val="20"/>
                <w:color w:val="auto"/>
              </w:rPr>
            </w:pPr>
            <w:r>
              <w:rPr>
                <w:rFonts w:ascii="Arial" w:cs="Arial" w:eastAsia="Arial" w:hAnsi="Arial"/>
                <w:sz w:val="11"/>
                <w:szCs w:val="11"/>
                <w:b w:val="1"/>
                <w:bCs w:val="1"/>
                <w:color w:val="auto"/>
              </w:rPr>
              <w:t>Pre-tax</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Income</w:t>
            </w:r>
          </w:p>
        </w:tc>
        <w:tc>
          <w:tcPr>
            <w:tcW w:w="420" w:type="dxa"/>
            <w:vAlign w:val="bottom"/>
          </w:tcPr>
          <w:p>
            <w:pPr>
              <w:spacing w:after="0"/>
              <w:rPr>
                <w:sz w:val="12"/>
                <w:szCs w:val="12"/>
                <w:color w:val="auto"/>
              </w:rPr>
            </w:pPr>
          </w:p>
        </w:tc>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After-tax</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rPr>
              <w:t>Per share of</w:t>
            </w:r>
          </w:p>
        </w:tc>
      </w:tr>
      <w:tr>
        <w:trPr>
          <w:trHeight w:val="122"/>
        </w:trPr>
        <w:tc>
          <w:tcPr>
            <w:tcW w:w="4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tax</w:t>
            </w: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common stock</w:t>
            </w:r>
          </w:p>
        </w:tc>
      </w:tr>
      <w:tr>
        <w:trPr>
          <w:trHeight w:val="148"/>
        </w:trPr>
        <w:tc>
          <w:tcPr>
            <w:tcW w:w="4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rPr>
              <w:t>(dollars)</w:t>
            </w:r>
          </w:p>
        </w:tc>
      </w:tr>
      <w:tr>
        <w:trPr>
          <w:trHeight w:val="176"/>
        </w:trPr>
        <w:tc>
          <w:tcPr>
            <w:tcW w:w="494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860" w:type="dxa"/>
            <w:vAlign w:val="bottom"/>
          </w:tcPr>
          <w:p>
            <w:pPr>
              <w:spacing w:after="0"/>
              <w:rPr>
                <w:sz w:val="15"/>
                <w:szCs w:val="15"/>
                <w:color w:val="auto"/>
              </w:rPr>
            </w:pPr>
          </w:p>
        </w:tc>
        <w:tc>
          <w:tcPr>
            <w:tcW w:w="420" w:type="dxa"/>
            <w:vAlign w:val="bottom"/>
          </w:tcPr>
          <w:p>
            <w:pPr>
              <w:jc w:val="right"/>
              <w:ind w:right="45"/>
              <w:spacing w:after="0"/>
              <w:rPr>
                <w:sz w:val="20"/>
                <w:szCs w:val="20"/>
                <w:color w:val="auto"/>
              </w:rPr>
            </w:pPr>
            <w:r>
              <w:rPr>
                <w:rFonts w:ascii="Arial" w:cs="Arial" w:eastAsia="Arial" w:hAnsi="Arial"/>
                <w:sz w:val="11"/>
                <w:szCs w:val="11"/>
                <w:b w:val="1"/>
                <w:bCs w:val="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2,183</w:t>
            </w:r>
          </w:p>
        </w:tc>
        <w:tc>
          <w:tcPr>
            <w:tcW w:w="880" w:type="dxa"/>
            <w:vAlign w:val="bottom"/>
          </w:tcPr>
          <w:p>
            <w:pPr>
              <w:jc w:val="right"/>
              <w:ind w:right="6"/>
              <w:spacing w:after="0"/>
              <w:rPr>
                <w:sz w:val="20"/>
                <w:szCs w:val="20"/>
                <w:color w:val="auto"/>
              </w:rPr>
            </w:pPr>
            <w:r>
              <w:rPr>
                <w:rFonts w:ascii="Arial" w:cs="Arial" w:eastAsia="Arial" w:hAnsi="Arial"/>
                <w:sz w:val="11"/>
                <w:szCs w:val="11"/>
                <w:b w:val="1"/>
                <w:bCs w:val="1"/>
                <w:color w:val="auto"/>
              </w:rPr>
              <w:t>1.78</w:t>
            </w:r>
          </w:p>
        </w:tc>
      </w:tr>
      <w:tr>
        <w:trPr>
          <w:trHeight w:val="156"/>
        </w:trPr>
        <w:tc>
          <w:tcPr>
            <w:tcW w:w="4940" w:type="dxa"/>
            <w:vAlign w:val="bottom"/>
            <w:gridSpan w:val="2"/>
          </w:tcPr>
          <w:p>
            <w:pPr>
              <w:ind w:left="40"/>
              <w:spacing w:after="0"/>
              <w:rPr>
                <w:sz w:val="20"/>
                <w:szCs w:val="20"/>
                <w:color w:val="auto"/>
              </w:rPr>
            </w:pPr>
            <w:r>
              <w:rPr>
                <w:rFonts w:ascii="Arial" w:cs="Arial" w:eastAsia="Arial" w:hAnsi="Arial"/>
                <w:sz w:val="11"/>
                <w:szCs w:val="11"/>
                <w:color w:val="auto"/>
              </w:rPr>
              <w:t>Adjustments:</w:t>
            </w: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2"/>
        </w:trPr>
        <w:tc>
          <w:tcPr>
            <w:tcW w:w="4940" w:type="dxa"/>
            <w:vAlign w:val="bottom"/>
            <w:gridSpan w:val="2"/>
          </w:tcPr>
          <w:p>
            <w:pPr>
              <w:ind w:left="140"/>
              <w:spacing w:after="0"/>
              <w:rPr>
                <w:sz w:val="20"/>
                <w:szCs w:val="20"/>
                <w:color w:val="auto"/>
              </w:rPr>
            </w:pPr>
            <w:r>
              <w:rPr>
                <w:rFonts w:ascii="Arial" w:cs="Arial" w:eastAsia="Arial" w:hAnsi="Arial"/>
                <w:sz w:val="11"/>
                <w:szCs w:val="11"/>
                <w:color w:val="auto"/>
              </w:rPr>
              <w:t>(Gain) loss on asset sales</w:t>
            </w:r>
          </w:p>
        </w:tc>
        <w:tc>
          <w:tcPr>
            <w:tcW w:w="860" w:type="dxa"/>
            <w:vAlign w:val="bottom"/>
          </w:tcPr>
          <w:p>
            <w:pPr>
              <w:jc w:val="right"/>
              <w:ind w:right="646"/>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185"/>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4940" w:type="dxa"/>
            <w:vAlign w:val="bottom"/>
            <w:gridSpan w:val="2"/>
          </w:tcPr>
          <w:p>
            <w:pPr>
              <w:ind w:left="140"/>
              <w:spacing w:after="0"/>
              <w:rPr>
                <w:sz w:val="20"/>
                <w:szCs w:val="20"/>
                <w:color w:val="auto"/>
              </w:rPr>
            </w:pPr>
            <w:r>
              <w:rPr>
                <w:rFonts w:ascii="Arial" w:cs="Arial" w:eastAsia="Arial" w:hAnsi="Arial"/>
                <w:sz w:val="11"/>
                <w:szCs w:val="11"/>
                <w:color w:val="auto"/>
              </w:rPr>
              <w:t>Transaction, integration and restructuring expenses</w:t>
            </w:r>
          </w:p>
        </w:tc>
        <w:tc>
          <w:tcPr>
            <w:tcW w:w="860" w:type="dxa"/>
            <w:vAlign w:val="bottom"/>
          </w:tcPr>
          <w:p>
            <w:pPr>
              <w:jc w:val="right"/>
              <w:ind w:right="646"/>
              <w:spacing w:after="0"/>
              <w:rPr>
                <w:sz w:val="20"/>
                <w:szCs w:val="20"/>
                <w:color w:val="auto"/>
              </w:rPr>
            </w:pPr>
            <w:r>
              <w:rPr>
                <w:rFonts w:ascii="Arial" w:cs="Arial" w:eastAsia="Arial" w:hAnsi="Arial"/>
                <w:sz w:val="11"/>
                <w:szCs w:val="11"/>
                <w:color w:val="auto"/>
              </w:rPr>
              <w:t>15</w:t>
            </w:r>
          </w:p>
        </w:tc>
        <w:tc>
          <w:tcPr>
            <w:tcW w:w="420" w:type="dxa"/>
            <w:vAlign w:val="bottom"/>
          </w:tcPr>
          <w:p>
            <w:pPr>
              <w:jc w:val="right"/>
              <w:ind w:right="145"/>
              <w:spacing w:after="0"/>
              <w:rPr>
                <w:sz w:val="20"/>
                <w:szCs w:val="20"/>
                <w:color w:val="auto"/>
              </w:rPr>
            </w:pPr>
            <w:r>
              <w:rPr>
                <w:rFonts w:ascii="Arial" w:cs="Arial" w:eastAsia="Arial" w:hAnsi="Arial"/>
                <w:sz w:val="11"/>
                <w:szCs w:val="11"/>
                <w:color w:val="auto"/>
              </w:rPr>
              <w:t>(3)</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0.01</w:t>
            </w:r>
          </w:p>
        </w:tc>
      </w:tr>
      <w:tr>
        <w:trPr>
          <w:trHeight w:val="162"/>
        </w:trPr>
        <w:tc>
          <w:tcPr>
            <w:tcW w:w="4940" w:type="dxa"/>
            <w:vAlign w:val="bottom"/>
            <w:gridSpan w:val="2"/>
          </w:tcPr>
          <w:p>
            <w:pPr>
              <w:ind w:left="140"/>
              <w:spacing w:after="0"/>
              <w:rPr>
                <w:sz w:val="20"/>
                <w:szCs w:val="20"/>
                <w:color w:val="auto"/>
              </w:rPr>
            </w:pPr>
            <w:r>
              <w:rPr>
                <w:rFonts w:ascii="Arial" w:cs="Arial" w:eastAsia="Arial" w:hAnsi="Arial"/>
                <w:sz w:val="11"/>
                <w:szCs w:val="11"/>
                <w:color w:val="auto"/>
              </w:rPr>
              <w:t>(Gain) loss in interest rate hedge¹</w:t>
            </w:r>
          </w:p>
        </w:tc>
        <w:tc>
          <w:tcPr>
            <w:tcW w:w="860" w:type="dxa"/>
            <w:vAlign w:val="bottom"/>
          </w:tcPr>
          <w:p>
            <w:pPr>
              <w:jc w:val="right"/>
              <w:ind w:right="646"/>
              <w:spacing w:after="0"/>
              <w:rPr>
                <w:sz w:val="20"/>
                <w:szCs w:val="20"/>
                <w:color w:val="auto"/>
              </w:rPr>
            </w:pPr>
            <w:r>
              <w:rPr>
                <w:rFonts w:ascii="Arial" w:cs="Arial" w:eastAsia="Arial" w:hAnsi="Arial"/>
                <w:sz w:val="11"/>
                <w:szCs w:val="11"/>
                <w:color w:val="auto"/>
              </w:rPr>
              <w:t>9</w:t>
            </w:r>
          </w:p>
        </w:tc>
        <w:tc>
          <w:tcPr>
            <w:tcW w:w="420" w:type="dxa"/>
            <w:vAlign w:val="bottom"/>
          </w:tcPr>
          <w:p>
            <w:pPr>
              <w:jc w:val="right"/>
              <w:ind w:right="145"/>
              <w:spacing w:after="0"/>
              <w:rPr>
                <w:sz w:val="20"/>
                <w:szCs w:val="20"/>
                <w:color w:val="auto"/>
              </w:rPr>
            </w:pPr>
            <w:r>
              <w:rPr>
                <w:rFonts w:ascii="Arial" w:cs="Arial" w:eastAsia="Arial" w:hAnsi="Arial"/>
                <w:sz w:val="11"/>
                <w:szCs w:val="11"/>
                <w:color w:val="auto"/>
              </w:rPr>
              <w:t>(2)</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0.01</w:t>
            </w:r>
          </w:p>
        </w:tc>
      </w:tr>
      <w:tr>
        <w:trPr>
          <w:trHeight w:val="162"/>
        </w:trPr>
        <w:tc>
          <w:tcPr>
            <w:tcW w:w="4940" w:type="dxa"/>
            <w:vAlign w:val="bottom"/>
            <w:gridSpan w:val="2"/>
          </w:tcPr>
          <w:p>
            <w:pPr>
              <w:ind w:left="140"/>
              <w:spacing w:after="0"/>
              <w:rPr>
                <w:sz w:val="20"/>
                <w:szCs w:val="20"/>
                <w:color w:val="auto"/>
              </w:rPr>
            </w:pPr>
            <w:r>
              <w:rPr>
                <w:rFonts w:ascii="Arial" w:cs="Arial" w:eastAsia="Arial" w:hAnsi="Arial"/>
                <w:sz w:val="11"/>
                <w:szCs w:val="11"/>
                <w:color w:val="auto"/>
              </w:rPr>
              <w:t>Pending claims and settlements</w:t>
            </w:r>
          </w:p>
        </w:tc>
        <w:tc>
          <w:tcPr>
            <w:tcW w:w="860" w:type="dxa"/>
            <w:vAlign w:val="bottom"/>
          </w:tcPr>
          <w:p>
            <w:pPr>
              <w:jc w:val="right"/>
              <w:ind w:right="646"/>
              <w:spacing w:after="0"/>
              <w:rPr>
                <w:sz w:val="20"/>
                <w:szCs w:val="20"/>
                <w:color w:val="auto"/>
              </w:rPr>
            </w:pPr>
            <w:r>
              <w:rPr>
                <w:rFonts w:ascii="Arial" w:cs="Arial" w:eastAsia="Arial" w:hAnsi="Arial"/>
                <w:sz w:val="11"/>
                <w:szCs w:val="11"/>
                <w:color w:val="auto"/>
              </w:rPr>
              <w:t>83</w:t>
            </w:r>
          </w:p>
        </w:tc>
        <w:tc>
          <w:tcPr>
            <w:tcW w:w="420" w:type="dxa"/>
            <w:vAlign w:val="bottom"/>
          </w:tcPr>
          <w:p>
            <w:pPr>
              <w:jc w:val="right"/>
              <w:ind w:right="145"/>
              <w:spacing w:after="0"/>
              <w:rPr>
                <w:sz w:val="20"/>
                <w:szCs w:val="20"/>
                <w:color w:val="auto"/>
              </w:rPr>
            </w:pPr>
            <w:r>
              <w:rPr>
                <w:rFonts w:ascii="Arial" w:cs="Arial" w:eastAsia="Arial" w:hAnsi="Arial"/>
                <w:sz w:val="11"/>
                <w:szCs w:val="11"/>
                <w:color w:val="auto"/>
              </w:rPr>
              <w:t>(20)</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63</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0.05</w:t>
            </w:r>
          </w:p>
        </w:tc>
      </w:tr>
      <w:tr>
        <w:trPr>
          <w:trHeight w:val="182"/>
        </w:trPr>
        <w:tc>
          <w:tcPr>
            <w:tcW w:w="494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color w:val="auto"/>
              </w:rPr>
              <w:t>(Gain) loss on contingent liability measurement</w:t>
            </w:r>
            <w:r>
              <w:rPr>
                <w:rFonts w:ascii="Arial" w:cs="Arial" w:eastAsia="Arial" w:hAnsi="Arial"/>
                <w:sz w:val="14"/>
                <w:szCs w:val="14"/>
                <w:color w:val="auto"/>
                <w:vertAlign w:val="superscript"/>
              </w:rPr>
              <w:t>2</w:t>
            </w:r>
          </w:p>
        </w:tc>
        <w:tc>
          <w:tcPr>
            <w:tcW w:w="86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color w:val="auto"/>
              </w:rPr>
              <w:t>78</w:t>
            </w:r>
          </w:p>
        </w:tc>
        <w:tc>
          <w:tcPr>
            <w:tcW w:w="420" w:type="dxa"/>
            <w:vAlign w:val="bottom"/>
            <w:tcBorders>
              <w:bottom w:val="single" w:sz="8" w:color="auto"/>
            </w:tcBorders>
          </w:tcPr>
          <w:p>
            <w:pPr>
              <w:jc w:val="right"/>
              <w:ind w:right="145"/>
              <w:spacing w:after="0"/>
              <w:rPr>
                <w:sz w:val="20"/>
                <w:szCs w:val="20"/>
                <w:color w:val="auto"/>
              </w:rPr>
            </w:pPr>
            <w:r>
              <w:rPr>
                <w:rFonts w:ascii="Arial" w:cs="Arial" w:eastAsia="Arial" w:hAnsi="Arial"/>
                <w:sz w:val="11"/>
                <w:szCs w:val="11"/>
                <w:color w:val="auto"/>
              </w:rPr>
              <w:t>(19)</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59</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0.04</w:t>
            </w:r>
          </w:p>
        </w:tc>
      </w:tr>
      <w:tr>
        <w:trPr>
          <w:trHeight w:val="142"/>
        </w:trPr>
        <w:tc>
          <w:tcPr>
            <w:tcW w:w="4940" w:type="dxa"/>
            <w:vAlign w:val="bottom"/>
            <w:gridSpan w:val="2"/>
          </w:tcPr>
          <w:p>
            <w:pPr>
              <w:ind w:left="40"/>
              <w:spacing w:after="0"/>
              <w:rPr>
                <w:sz w:val="20"/>
                <w:szCs w:val="20"/>
                <w:color w:val="auto"/>
              </w:rPr>
            </w:pPr>
            <w:r>
              <w:rPr>
                <w:rFonts w:ascii="Arial" w:cs="Arial" w:eastAsia="Arial" w:hAnsi="Arial"/>
                <w:sz w:val="11"/>
                <w:szCs w:val="11"/>
                <w:b w:val="1"/>
                <w:bCs w:val="1"/>
                <w:color w:val="auto"/>
              </w:rPr>
              <w:t>Adjusted earnings / (loss)</w:t>
            </w:r>
          </w:p>
        </w:tc>
        <w:tc>
          <w:tcPr>
            <w:tcW w:w="860" w:type="dxa"/>
            <w:vAlign w:val="bottom"/>
          </w:tcPr>
          <w:p>
            <w:pPr>
              <w:spacing w:after="0"/>
              <w:rPr>
                <w:sz w:val="12"/>
                <w:szCs w:val="12"/>
                <w:color w:val="auto"/>
              </w:rPr>
            </w:pPr>
          </w:p>
        </w:tc>
        <w:tc>
          <w:tcPr>
            <w:tcW w:w="420" w:type="dxa"/>
            <w:vAlign w:val="bottom"/>
          </w:tcPr>
          <w:p>
            <w:pPr>
              <w:jc w:val="right"/>
              <w:ind w:right="45"/>
              <w:spacing w:after="0"/>
              <w:rPr>
                <w:sz w:val="20"/>
                <w:szCs w:val="20"/>
                <w:color w:val="auto"/>
              </w:rPr>
            </w:pPr>
            <w:r>
              <w:rPr>
                <w:rFonts w:ascii="Arial" w:cs="Arial" w:eastAsia="Arial" w:hAnsi="Arial"/>
                <w:sz w:val="11"/>
                <w:szCs w:val="11"/>
                <w:b w:val="1"/>
                <w:bCs w:val="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2,324</w:t>
            </w:r>
          </w:p>
        </w:tc>
        <w:tc>
          <w:tcPr>
            <w:tcW w:w="880" w:type="dxa"/>
            <w:vAlign w:val="bottom"/>
          </w:tcPr>
          <w:p>
            <w:pPr>
              <w:jc w:val="right"/>
              <w:ind w:right="6"/>
              <w:spacing w:after="0"/>
              <w:rPr>
                <w:sz w:val="20"/>
                <w:szCs w:val="20"/>
                <w:color w:val="auto"/>
              </w:rPr>
            </w:pPr>
            <w:r>
              <w:rPr>
                <w:rFonts w:ascii="Arial" w:cs="Arial" w:eastAsia="Arial" w:hAnsi="Arial"/>
                <w:sz w:val="11"/>
                <w:szCs w:val="11"/>
                <w:b w:val="1"/>
                <w:bCs w:val="1"/>
                <w:color w:val="auto"/>
              </w:rPr>
              <w:t>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9140"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351155"/>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1"/>
          <w:szCs w:val="11"/>
          <w:color w:val="auto"/>
        </w:rPr>
        <w:t>¹Interest rate hedging (gain) loss from PALNG Phase 1 Investment.</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4"/>
          <w:szCs w:val="14"/>
          <w:color w:val="auto"/>
          <w:vertAlign w:val="superscript"/>
        </w:rPr>
        <w:t>2</w:t>
      </w:r>
      <w:r>
        <w:rPr>
          <w:rFonts w:ascii="Arial" w:cs="Arial" w:eastAsia="Arial" w:hAnsi="Arial"/>
          <w:sz w:val="11"/>
          <w:szCs w:val="11"/>
          <w:color w:val="auto"/>
        </w:rPr>
        <w:t>Related to our Surmont acquisition.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1Q25</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20" w:type="dxa"/>
            <w:vAlign w:val="bottom"/>
          </w:tcPr>
          <w:p>
            <w:pPr>
              <w:jc w:val="right"/>
              <w:ind w:right="266"/>
              <w:spacing w:after="0"/>
              <w:rPr>
                <w:sz w:val="20"/>
                <w:szCs w:val="20"/>
                <w:color w:val="auto"/>
              </w:rPr>
            </w:pPr>
            <w:r>
              <w:rPr>
                <w:rFonts w:ascii="Arial" w:cs="Arial" w:eastAsia="Arial" w:hAnsi="Arial"/>
                <w:sz w:val="11"/>
                <w:szCs w:val="11"/>
                <w:b w:val="1"/>
                <w:bCs w:val="1"/>
                <w:color w:val="auto"/>
              </w:rPr>
              <w:t>Pre-tax</w:t>
            </w:r>
          </w:p>
        </w:tc>
        <w:tc>
          <w:tcPr>
            <w:tcW w:w="800" w:type="dxa"/>
            <w:vAlign w:val="bottom"/>
          </w:tcPr>
          <w:p>
            <w:pPr>
              <w:jc w:val="right"/>
              <w:ind w:right="246"/>
              <w:spacing w:after="0"/>
              <w:rPr>
                <w:sz w:val="20"/>
                <w:szCs w:val="20"/>
                <w:color w:val="auto"/>
              </w:rPr>
            </w:pPr>
            <w:r>
              <w:rPr>
                <w:rFonts w:ascii="Arial" w:cs="Arial" w:eastAsia="Arial" w:hAnsi="Arial"/>
                <w:sz w:val="11"/>
                <w:szCs w:val="11"/>
                <w:b w:val="1"/>
                <w:bCs w:val="1"/>
                <w:color w:val="auto"/>
              </w:rPr>
              <w:t>Income</w:t>
            </w:r>
          </w:p>
        </w:tc>
        <w:tc>
          <w:tcPr>
            <w:tcW w:w="740" w:type="dxa"/>
            <w:vAlign w:val="bottom"/>
          </w:tcPr>
          <w:p>
            <w:pPr>
              <w:jc w:val="right"/>
              <w:ind w:right="126"/>
              <w:spacing w:after="0"/>
              <w:rPr>
                <w:sz w:val="20"/>
                <w:szCs w:val="20"/>
                <w:color w:val="auto"/>
              </w:rPr>
            </w:pPr>
            <w:r>
              <w:rPr>
                <w:rFonts w:ascii="Arial" w:cs="Arial" w:eastAsia="Arial" w:hAnsi="Arial"/>
                <w:sz w:val="11"/>
                <w:szCs w:val="11"/>
                <w:b w:val="1"/>
                <w:bCs w:val="1"/>
                <w:color w:val="auto"/>
              </w:rPr>
              <w:t>After-tax</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7"/>
              </w:rPr>
              <w:t>Per share of</w:t>
            </w:r>
          </w:p>
        </w:tc>
      </w:tr>
      <w:tr>
        <w:trPr>
          <w:trHeight w:val="122"/>
        </w:trPr>
        <w:tc>
          <w:tcPr>
            <w:tcW w:w="920" w:type="dxa"/>
            <w:vAlign w:val="bottom"/>
          </w:tcPr>
          <w:p>
            <w:pPr>
              <w:spacing w:after="0"/>
              <w:rPr>
                <w:sz w:val="10"/>
                <w:szCs w:val="10"/>
                <w:color w:val="auto"/>
              </w:rPr>
            </w:pPr>
          </w:p>
        </w:tc>
        <w:tc>
          <w:tcPr>
            <w:tcW w:w="800" w:type="dxa"/>
            <w:vAlign w:val="bottom"/>
          </w:tcPr>
          <w:p>
            <w:pPr>
              <w:jc w:val="right"/>
              <w:ind w:right="346"/>
              <w:spacing w:after="0" w:line="122" w:lineRule="exact"/>
              <w:rPr>
                <w:sz w:val="20"/>
                <w:szCs w:val="20"/>
                <w:color w:val="auto"/>
              </w:rPr>
            </w:pPr>
            <w:r>
              <w:rPr>
                <w:rFonts w:ascii="Arial" w:cs="Arial" w:eastAsia="Arial" w:hAnsi="Arial"/>
                <w:sz w:val="11"/>
                <w:szCs w:val="11"/>
                <w:b w:val="1"/>
                <w:bCs w:val="1"/>
                <w:color w:val="auto"/>
              </w:rPr>
              <w:t>tax</w:t>
            </w:r>
          </w:p>
        </w:tc>
        <w:tc>
          <w:tcPr>
            <w:tcW w:w="74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common stock</w:t>
            </w:r>
          </w:p>
        </w:tc>
      </w:tr>
      <w:tr>
        <w:trPr>
          <w:trHeight w:val="148"/>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6"/>
              </w:rPr>
              <w:t>(dollars)</w:t>
            </w:r>
          </w:p>
        </w:tc>
      </w:tr>
      <w:tr>
        <w:trPr>
          <w:trHeight w:val="176"/>
        </w:trPr>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2,849</w:t>
            </w:r>
          </w:p>
        </w:tc>
        <w:tc>
          <w:tcPr>
            <w:tcW w:w="840" w:type="dxa"/>
            <w:vAlign w:val="bottom"/>
          </w:tcPr>
          <w:p>
            <w:pPr>
              <w:jc w:val="right"/>
              <w:ind w:right="26"/>
              <w:spacing w:after="0"/>
              <w:rPr>
                <w:sz w:val="20"/>
                <w:szCs w:val="20"/>
                <w:color w:val="auto"/>
              </w:rPr>
            </w:pPr>
            <w:r>
              <w:rPr>
                <w:rFonts w:ascii="Arial" w:cs="Arial" w:eastAsia="Arial" w:hAnsi="Arial"/>
                <w:sz w:val="11"/>
                <w:szCs w:val="11"/>
                <w:b w:val="1"/>
                <w:bCs w:val="1"/>
                <w:color w:val="auto"/>
              </w:rPr>
              <w:t>2.23</w:t>
            </w:r>
          </w:p>
        </w:tc>
      </w:tr>
      <w:tr>
        <w:trPr>
          <w:trHeight w:val="318"/>
        </w:trPr>
        <w:tc>
          <w:tcPr>
            <w:tcW w:w="920" w:type="dxa"/>
            <w:vAlign w:val="bottom"/>
          </w:tcPr>
          <w:p>
            <w:pPr>
              <w:jc w:val="right"/>
              <w:ind w:right="66"/>
              <w:spacing w:after="0"/>
              <w:rPr>
                <w:sz w:val="20"/>
                <w:szCs w:val="20"/>
                <w:color w:val="auto"/>
              </w:rPr>
            </w:pPr>
            <w:r>
              <w:rPr>
                <w:rFonts w:ascii="Arial" w:cs="Arial" w:eastAsia="Arial" w:hAnsi="Arial"/>
                <w:sz w:val="11"/>
                <w:szCs w:val="11"/>
                <w:color w:val="auto"/>
              </w:rPr>
              <w:t>(64)</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740" w:type="dxa"/>
            <w:vAlign w:val="bottom"/>
          </w:tcPr>
          <w:p>
            <w:pPr>
              <w:jc w:val="right"/>
              <w:spacing w:after="0"/>
              <w:rPr>
                <w:sz w:val="20"/>
                <w:szCs w:val="20"/>
                <w:color w:val="auto"/>
              </w:rPr>
            </w:pPr>
            <w:r>
              <w:rPr>
                <w:rFonts w:ascii="Arial" w:cs="Arial" w:eastAsia="Arial" w:hAnsi="Arial"/>
                <w:sz w:val="11"/>
                <w:szCs w:val="11"/>
                <w:color w:val="auto"/>
              </w:rPr>
              <w:t>(105)</w:t>
            </w:r>
          </w:p>
        </w:tc>
        <w:tc>
          <w:tcPr>
            <w:tcW w:w="840" w:type="dxa"/>
            <w:vAlign w:val="bottom"/>
          </w:tcPr>
          <w:p>
            <w:pPr>
              <w:jc w:val="right"/>
              <w:spacing w:after="0"/>
              <w:rPr>
                <w:sz w:val="20"/>
                <w:szCs w:val="20"/>
                <w:color w:val="auto"/>
              </w:rPr>
            </w:pPr>
            <w:r>
              <w:rPr>
                <w:rFonts w:ascii="Arial" w:cs="Arial" w:eastAsia="Arial" w:hAnsi="Arial"/>
                <w:sz w:val="11"/>
                <w:szCs w:val="11"/>
                <w:color w:val="auto"/>
              </w:rPr>
              <w:t>(0.08)</w:t>
            </w:r>
          </w:p>
        </w:tc>
      </w:tr>
      <w:tr>
        <w:trPr>
          <w:trHeight w:val="162"/>
        </w:trPr>
        <w:tc>
          <w:tcPr>
            <w:tcW w:w="920" w:type="dxa"/>
            <w:vAlign w:val="bottom"/>
          </w:tcPr>
          <w:p>
            <w:pPr>
              <w:jc w:val="right"/>
              <w:ind w:right="106"/>
              <w:spacing w:after="0"/>
              <w:rPr>
                <w:sz w:val="20"/>
                <w:szCs w:val="20"/>
                <w:color w:val="auto"/>
              </w:rPr>
            </w:pPr>
            <w:r>
              <w:rPr>
                <w:rFonts w:ascii="Arial" w:cs="Arial" w:eastAsia="Arial" w:hAnsi="Arial"/>
                <w:sz w:val="11"/>
                <w:szCs w:val="11"/>
                <w:color w:val="auto"/>
              </w:rPr>
              <w:t>53</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740" w:type="dxa"/>
            <w:vAlign w:val="bottom"/>
          </w:tcPr>
          <w:p>
            <w:pPr>
              <w:jc w:val="right"/>
              <w:spacing w:after="0"/>
              <w:rPr>
                <w:sz w:val="20"/>
                <w:szCs w:val="20"/>
                <w:color w:val="auto"/>
              </w:rPr>
            </w:pPr>
            <w:r>
              <w:rPr>
                <w:rFonts w:ascii="Arial" w:cs="Arial" w:eastAsia="Arial" w:hAnsi="Arial"/>
                <w:sz w:val="11"/>
                <w:szCs w:val="11"/>
                <w:color w:val="auto"/>
              </w:rPr>
              <w:t>41</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0.03</w:t>
            </w:r>
          </w:p>
        </w:tc>
      </w:tr>
      <w:tr>
        <w:trPr>
          <w:trHeight w:val="162"/>
        </w:trPr>
        <w:tc>
          <w:tcPr>
            <w:tcW w:w="92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740" w:type="dxa"/>
            <w:vAlign w:val="bottom"/>
          </w:tcPr>
          <w:p>
            <w:pPr>
              <w:jc w:val="right"/>
              <w:spacing w:after="0"/>
              <w:rPr>
                <w:sz w:val="20"/>
                <w:szCs w:val="20"/>
                <w:color w:val="auto"/>
              </w:rPr>
            </w:pPr>
            <w:r>
              <w:rPr>
                <w:rFonts w:ascii="Arial" w:cs="Arial" w:eastAsia="Arial" w:hAnsi="Arial"/>
                <w:sz w:val="11"/>
                <w:szCs w:val="11"/>
                <w:color w:val="auto"/>
              </w:rPr>
              <w:t>(12)</w:t>
            </w:r>
          </w:p>
        </w:tc>
        <w:tc>
          <w:tcPr>
            <w:tcW w:w="840" w:type="dxa"/>
            <w:vAlign w:val="bottom"/>
          </w:tcPr>
          <w:p>
            <w:pPr>
              <w:jc w:val="right"/>
              <w:spacing w:after="0"/>
              <w:rPr>
                <w:sz w:val="20"/>
                <w:szCs w:val="20"/>
                <w:color w:val="auto"/>
              </w:rPr>
            </w:pPr>
            <w:r>
              <w:rPr>
                <w:rFonts w:ascii="Arial" w:cs="Arial" w:eastAsia="Arial" w:hAnsi="Arial"/>
                <w:sz w:val="11"/>
                <w:szCs w:val="11"/>
                <w:color w:val="auto"/>
              </w:rPr>
              <w:t>(0.01)</w:t>
            </w:r>
          </w:p>
        </w:tc>
      </w:tr>
      <w:tr>
        <w:trPr>
          <w:trHeight w:val="162"/>
        </w:trPr>
        <w:tc>
          <w:tcPr>
            <w:tcW w:w="920" w:type="dxa"/>
            <w:vAlign w:val="bottom"/>
          </w:tcPr>
          <w:p>
            <w:pPr>
              <w:jc w:val="right"/>
              <w:ind w:right="66"/>
              <w:spacing w:after="0"/>
              <w:rPr>
                <w:sz w:val="20"/>
                <w:szCs w:val="20"/>
                <w:color w:val="auto"/>
              </w:rPr>
            </w:pPr>
            <w:r>
              <w:rPr>
                <w:rFonts w:ascii="Arial" w:cs="Arial" w:eastAsia="Arial" w:hAnsi="Arial"/>
                <w:sz w:val="11"/>
                <w:szCs w:val="11"/>
                <w:color w:val="auto"/>
              </w:rPr>
              <w:t>(123)</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29</w:t>
            </w:r>
          </w:p>
        </w:tc>
        <w:tc>
          <w:tcPr>
            <w:tcW w:w="740" w:type="dxa"/>
            <w:vAlign w:val="bottom"/>
          </w:tcPr>
          <w:p>
            <w:pPr>
              <w:jc w:val="right"/>
              <w:spacing w:after="0"/>
              <w:rPr>
                <w:sz w:val="20"/>
                <w:szCs w:val="20"/>
                <w:color w:val="auto"/>
              </w:rPr>
            </w:pPr>
            <w:r>
              <w:rPr>
                <w:rFonts w:ascii="Arial" w:cs="Arial" w:eastAsia="Arial" w:hAnsi="Arial"/>
                <w:sz w:val="11"/>
                <w:szCs w:val="11"/>
                <w:color w:val="auto"/>
              </w:rPr>
              <w:t>(94)</w:t>
            </w:r>
          </w:p>
        </w:tc>
        <w:tc>
          <w:tcPr>
            <w:tcW w:w="840" w:type="dxa"/>
            <w:vAlign w:val="bottom"/>
          </w:tcPr>
          <w:p>
            <w:pPr>
              <w:jc w:val="right"/>
              <w:spacing w:after="0"/>
              <w:rPr>
                <w:sz w:val="20"/>
                <w:szCs w:val="20"/>
                <w:color w:val="auto"/>
              </w:rPr>
            </w:pPr>
            <w:r>
              <w:rPr>
                <w:rFonts w:ascii="Arial" w:cs="Arial" w:eastAsia="Arial" w:hAnsi="Arial"/>
                <w:sz w:val="11"/>
                <w:szCs w:val="11"/>
                <w:color w:val="auto"/>
              </w:rPr>
              <w:t>(0.08)</w:t>
            </w:r>
          </w:p>
        </w:tc>
      </w:tr>
      <w:tr>
        <w:trPr>
          <w:trHeight w:val="175"/>
        </w:trPr>
        <w:tc>
          <w:tcPr>
            <w:tcW w:w="9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r>
      <w:tr>
        <w:trPr>
          <w:trHeight w:val="148"/>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2,679</w:t>
            </w:r>
          </w:p>
        </w:tc>
        <w:tc>
          <w:tcPr>
            <w:tcW w:w="840" w:type="dxa"/>
            <w:vAlign w:val="bottom"/>
          </w:tcPr>
          <w:p>
            <w:pPr>
              <w:jc w:val="right"/>
              <w:ind w:right="26"/>
              <w:spacing w:after="0"/>
              <w:rPr>
                <w:sz w:val="20"/>
                <w:szCs w:val="20"/>
                <w:color w:val="auto"/>
              </w:rPr>
            </w:pPr>
            <w:r>
              <w:rPr>
                <w:rFonts w:ascii="Arial" w:cs="Arial" w:eastAsia="Arial" w:hAnsi="Arial"/>
                <w:sz w:val="11"/>
                <w:szCs w:val="11"/>
                <w:b w:val="1"/>
                <w:bCs w:val="1"/>
                <w:color w:val="auto"/>
              </w:rPr>
              <w:t>2.09</w:t>
            </w:r>
          </w:p>
        </w:tc>
      </w:tr>
    </w:tbl>
    <w:p>
      <w:pPr>
        <w:spacing w:after="0" w:line="405" w:lineRule="exact"/>
        <w:rPr>
          <w:sz w:val="20"/>
          <w:szCs w:val="20"/>
          <w:color w:val="auto"/>
        </w:rPr>
      </w:pPr>
    </w:p>
    <w:p>
      <w:pPr>
        <w:sectPr>
          <w:pgSz w:w="11900" w:h="16838" w:orient="portrait"/>
          <w:cols w:equalWidth="0" w:num="2">
            <w:col w:w="7800" w:space="80"/>
            <w:col w:w="3340"/>
          </w:cols>
          <w:pgMar w:left="320" w:top="127" w:right="3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The income tax effects of the special items are primarily calculated based on the statutory rate of the jurisdiction in which the discrete item resides.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532130</wp:posOffset>
            </wp:positionV>
            <wp:extent cx="7123430" cy="14744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ConocoPhillips</w:t>
      </w:r>
    </w:p>
    <w:p>
      <w:pPr>
        <w:spacing w:after="0" w:line="40" w:lineRule="exact"/>
        <w:rPr>
          <w:sz w:val="20"/>
          <w:szCs w:val="20"/>
          <w:color w:val="auto"/>
        </w:rPr>
      </w:pPr>
    </w:p>
    <w:p>
      <w:pPr>
        <w:ind w:left="40" w:right="3380"/>
        <w:spacing w:after="0" w:line="282" w:lineRule="auto"/>
        <w:rPr>
          <w:sz w:val="20"/>
          <w:szCs w:val="20"/>
          <w:color w:val="auto"/>
        </w:rPr>
      </w:pPr>
      <w:r>
        <w:rPr>
          <w:rFonts w:ascii="Arial" w:cs="Arial" w:eastAsia="Arial" w:hAnsi="Arial"/>
          <w:sz w:val="18"/>
          <w:szCs w:val="18"/>
          <w:b w:val="1"/>
          <w:bCs w:val="1"/>
          <w:color w:val="auto"/>
        </w:rPr>
        <w:t xml:space="preserve">Table 2: Reconciliation of net cash provided by operating activities to cash from operations </w:t>
      </w:r>
      <w:r>
        <w:rPr>
          <w:rFonts w:ascii="Arial" w:cs="Arial" w:eastAsia="Arial" w:hAnsi="Arial"/>
          <w:sz w:val="18"/>
          <w:szCs w:val="18"/>
          <w:color w:val="auto"/>
        </w:rPr>
        <w:t>$ millions, except as indicated</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9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4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1Q26</w:t>
            </w:r>
          </w:p>
        </w:tc>
        <w:tc>
          <w:tcPr>
            <w:tcW w:w="0" w:type="dxa"/>
            <w:vAlign w:val="bottom"/>
          </w:tcPr>
          <w:p>
            <w:pPr>
              <w:spacing w:after="0"/>
              <w:rPr>
                <w:sz w:val="1"/>
                <w:szCs w:val="1"/>
                <w:color w:val="auto"/>
              </w:rPr>
            </w:pPr>
          </w:p>
        </w:tc>
      </w:tr>
      <w:tr>
        <w:trPr>
          <w:trHeight w:val="240"/>
        </w:trPr>
        <w:tc>
          <w:tcPr>
            <w:tcW w:w="9060" w:type="dxa"/>
            <w:vAlign w:val="bottom"/>
            <w:vMerge w:val="continue"/>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Pr>
          <w:p>
            <w:pPr>
              <w:jc w:val="center"/>
              <w:ind w:left="950"/>
              <w:spacing w:after="0"/>
              <w:rPr>
                <w:sz w:val="20"/>
                <w:szCs w:val="20"/>
                <w:color w:val="auto"/>
              </w:rPr>
            </w:pPr>
            <w:r>
              <w:rPr>
                <w:rFonts w:ascii="Arial" w:cs="Arial" w:eastAsia="Arial" w:hAnsi="Arial"/>
                <w:sz w:val="18"/>
                <w:szCs w:val="18"/>
                <w:b w:val="1"/>
                <w:bCs w:val="1"/>
                <w:color w:val="auto"/>
              </w:rPr>
              <w:t>4,295</w:t>
            </w:r>
          </w:p>
        </w:tc>
        <w:tc>
          <w:tcPr>
            <w:tcW w:w="0" w:type="dxa"/>
            <w:vAlign w:val="bottom"/>
          </w:tcPr>
          <w:p>
            <w:pPr>
              <w:spacing w:after="0"/>
              <w:rPr>
                <w:sz w:val="1"/>
                <w:szCs w:val="1"/>
                <w:color w:val="auto"/>
              </w:rPr>
            </w:pPr>
          </w:p>
        </w:tc>
      </w:tr>
      <w:tr>
        <w:trPr>
          <w:trHeight w:val="423"/>
        </w:trPr>
        <w:tc>
          <w:tcPr>
            <w:tcW w:w="906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9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operating working capital changes</w:t>
            </w:r>
          </w:p>
        </w:tc>
        <w:tc>
          <w:tcPr>
            <w:tcW w:w="4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98"/>
              </w:rPr>
              <w:t>(1,092)</w:t>
            </w:r>
          </w:p>
        </w:tc>
        <w:tc>
          <w:tcPr>
            <w:tcW w:w="0" w:type="dxa"/>
            <w:vAlign w:val="bottom"/>
          </w:tcPr>
          <w:p>
            <w:pPr>
              <w:spacing w:after="0"/>
              <w:rPr>
                <w:sz w:val="1"/>
                <w:szCs w:val="1"/>
                <w:color w:val="auto"/>
              </w:rPr>
            </w:pPr>
          </w:p>
        </w:tc>
      </w:tr>
      <w:tr>
        <w:trPr>
          <w:trHeight w:val="236"/>
        </w:trPr>
        <w:tc>
          <w:tcPr>
            <w:tcW w:w="9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Cash from operations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b w:val="1"/>
                <w:bCs w:val="1"/>
                <w:color w:val="auto"/>
              </w:rPr>
              <w:t>5,387</w:t>
            </w:r>
          </w:p>
        </w:tc>
        <w:tc>
          <w:tcPr>
            <w:tcW w:w="0" w:type="dxa"/>
            <w:vAlign w:val="bottom"/>
          </w:tcPr>
          <w:p>
            <w:pPr>
              <w:spacing w:after="0"/>
              <w:rPr>
                <w:sz w:val="1"/>
                <w:szCs w:val="1"/>
                <w:color w:val="auto"/>
              </w:rPr>
            </w:pPr>
          </w:p>
        </w:tc>
      </w:tr>
      <w:tr>
        <w:trPr>
          <w:trHeight w:val="115"/>
        </w:trPr>
        <w:tc>
          <w:tcPr>
            <w:tcW w:w="906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23430" cy="1543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154305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ConocoPhillips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3: Reconciliation of reported production to pro forma underlying production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MBOED, except as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reported ConocoPhillips production</w:t>
            </w:r>
          </w:p>
        </w:tc>
        <w:tc>
          <w:tcPr>
            <w:tcW w:w="11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1Q26</w:t>
            </w:r>
          </w:p>
        </w:tc>
        <w:tc>
          <w:tcPr>
            <w:tcW w:w="5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1Q25</w:t>
            </w:r>
          </w:p>
        </w:tc>
        <w:tc>
          <w:tcPr>
            <w:tcW w:w="0" w:type="dxa"/>
            <w:vAlign w:val="bottom"/>
          </w:tcPr>
          <w:p>
            <w:pPr>
              <w:spacing w:after="0"/>
              <w:rPr>
                <w:sz w:val="1"/>
                <w:szCs w:val="1"/>
                <w:color w:val="auto"/>
              </w:rPr>
            </w:pPr>
          </w:p>
        </w:tc>
      </w:tr>
      <w:tr>
        <w:trPr>
          <w:trHeight w:val="240"/>
        </w:trPr>
        <w:tc>
          <w:tcPr>
            <w:tcW w:w="758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2,309</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2,389</w:t>
            </w:r>
          </w:p>
        </w:tc>
        <w:tc>
          <w:tcPr>
            <w:tcW w:w="0" w:type="dxa"/>
            <w:vAlign w:val="bottom"/>
          </w:tcPr>
          <w:p>
            <w:pPr>
              <w:spacing w:after="0"/>
              <w:rPr>
                <w:sz w:val="1"/>
                <w:szCs w:val="1"/>
                <w:color w:val="auto"/>
              </w:rPr>
            </w:pPr>
          </w:p>
        </w:tc>
      </w:tr>
      <w:tr>
        <w:trPr>
          <w:trHeight w:val="477"/>
        </w:trPr>
        <w:tc>
          <w:tcPr>
            <w:tcW w:w="8760" w:type="dxa"/>
            <w:vAlign w:val="bottom"/>
            <w:gridSpan w:val="2"/>
          </w:tcPr>
          <w:p>
            <w:pPr>
              <w:ind w:left="580"/>
              <w:spacing w:after="0"/>
              <w:rPr>
                <w:sz w:val="20"/>
                <w:szCs w:val="20"/>
                <w:color w:val="auto"/>
              </w:rPr>
            </w:pPr>
            <w:r>
              <w:rPr>
                <w:rFonts w:ascii="Arial" w:cs="Arial" w:eastAsia="Arial" w:hAnsi="Arial"/>
                <w:sz w:val="18"/>
                <w:szCs w:val="18"/>
                <w:color w:val="auto"/>
              </w:rPr>
              <w:t>Closed Dispositions</w:t>
            </w:r>
            <w:r>
              <w:rPr>
                <w:rFonts w:ascii="Arial" w:cs="Arial" w:eastAsia="Arial" w:hAnsi="Arial"/>
                <w:sz w:val="23"/>
                <w:szCs w:val="23"/>
                <w:color w:val="auto"/>
                <w:vertAlign w:val="superscript"/>
              </w:rPr>
              <w:t>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5"/>
        </w:trPr>
        <w:tc>
          <w:tcPr>
            <w:tcW w:w="8760" w:type="dxa"/>
            <w:vAlign w:val="bottom"/>
            <w:gridSpan w:val="2"/>
          </w:tcPr>
          <w:p>
            <w:pPr>
              <w:ind w:left="580"/>
              <w:spacing w:after="0"/>
              <w:rPr>
                <w:sz w:val="20"/>
                <w:szCs w:val="20"/>
                <w:color w:val="auto"/>
              </w:rPr>
            </w:pPr>
            <w:r>
              <w:rPr>
                <w:rFonts w:ascii="Arial" w:cs="Arial" w:eastAsia="Arial" w:hAnsi="Arial"/>
                <w:sz w:val="18"/>
                <w:szCs w:val="18"/>
                <w:color w:val="auto"/>
              </w:rPr>
              <w:t>Closed Acquisitions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87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 pro forma underlying production</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2,309</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2343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88595"/>
                    </a:xfrm>
                    <a:prstGeom prst="rect">
                      <a:avLst/>
                    </a:prstGeom>
                    <a:noFill/>
                  </pic:spPr>
                </pic:pic>
              </a:graphicData>
            </a:graphic>
          </wp:anchor>
        </w:drawing>
      </w:r>
    </w:p>
    <w:p>
      <w:pPr>
        <w:spacing w:after="0" w:line="63" w:lineRule="exact"/>
        <w:rPr>
          <w:sz w:val="20"/>
          <w:szCs w:val="20"/>
          <w:color w:val="auto"/>
        </w:rPr>
      </w:pPr>
    </w:p>
    <w:p>
      <w:pPr>
        <w:ind w:left="40"/>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Includes production related to various Lower 48 noncore dispositions.</w:t>
      </w:r>
    </w:p>
    <w:p>
      <w:pPr>
        <w:sectPr>
          <w:pgSz w:w="11900" w:h="16838" w:orient="portrait"/>
          <w:cols w:equalWidth="0" w:num="1">
            <w:col w:w="11220"/>
          </w:cols>
          <w:pgMar w:left="320" w:top="127" w:right="35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062990" cy="334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299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First-Quarter 2026 Detailed Supplemental Information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2026</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5"/>
        </w:trPr>
        <w:tc>
          <w:tcPr>
            <w:tcW w:w="3600" w:type="dxa"/>
            <w:vAlign w:val="bottom"/>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3rd Qtr</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Full Year</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3rd Qtr</w:t>
            </w: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YTD</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 Millions, Except as Indicated</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8"/>
        </w:trPr>
        <w:tc>
          <w:tcPr>
            <w:tcW w:w="3600" w:type="dxa"/>
            <w:vAlign w:val="bottom"/>
          </w:tcPr>
          <w:p>
            <w:pPr>
              <w:ind w:left="20"/>
              <w:spacing w:after="0"/>
              <w:rPr>
                <w:sz w:val="20"/>
                <w:szCs w:val="20"/>
                <w:color w:val="auto"/>
              </w:rPr>
            </w:pPr>
            <w:r>
              <w:rPr>
                <w:rFonts w:ascii="Arial" w:cs="Arial" w:eastAsia="Arial" w:hAnsi="Arial"/>
                <w:sz w:val="14"/>
                <w:szCs w:val="14"/>
                <w:b w:val="1"/>
                <w:bCs w:val="1"/>
                <w:color w:val="0000FF"/>
              </w:rPr>
              <w:t>CONSOLIDATED INCOME STATEMENT</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Revenues and other income</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7"/>
        </w:trPr>
        <w:tc>
          <w:tcPr>
            <w:tcW w:w="3600" w:type="dxa"/>
            <w:vAlign w:val="bottom"/>
          </w:tcPr>
          <w:p>
            <w:pPr>
              <w:ind w:left="100"/>
              <w:spacing w:after="0"/>
              <w:rPr>
                <w:sz w:val="20"/>
                <w:szCs w:val="20"/>
                <w:color w:val="auto"/>
              </w:rPr>
            </w:pPr>
            <w:r>
              <w:rPr>
                <w:rFonts w:ascii="Arial" w:cs="Arial" w:eastAsia="Arial" w:hAnsi="Arial"/>
                <w:sz w:val="14"/>
                <w:szCs w:val="14"/>
                <w:color w:val="auto"/>
              </w:rPr>
              <w:t>Sales and other operating revenues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16,517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14,004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15,031</w:t>
            </w:r>
          </w:p>
        </w:tc>
        <w:tc>
          <w:tcPr>
            <w:tcW w:w="720" w:type="dxa"/>
            <w:vAlign w:val="bottom"/>
          </w:tcPr>
          <w:p>
            <w:pPr>
              <w:jc w:val="right"/>
              <w:spacing w:after="0"/>
              <w:rPr>
                <w:sz w:val="20"/>
                <w:szCs w:val="20"/>
                <w:color w:val="auto"/>
              </w:rPr>
            </w:pPr>
            <w:r>
              <w:rPr>
                <w:rFonts w:ascii="Arial" w:cs="Arial" w:eastAsia="Arial" w:hAnsi="Arial"/>
                <w:sz w:val="14"/>
                <w:szCs w:val="14"/>
                <w:color w:val="auto"/>
              </w:rPr>
              <w:t>13,392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58,944</w:t>
            </w: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15,761</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15,761</w:t>
            </w: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Equity in earnings of affiliates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345</w:t>
            </w:r>
          </w:p>
        </w:tc>
        <w:tc>
          <w:tcPr>
            <w:tcW w:w="720" w:type="dxa"/>
            <w:vAlign w:val="bottom"/>
          </w:tcPr>
          <w:p>
            <w:pPr>
              <w:jc w:val="right"/>
              <w:spacing w:after="0"/>
              <w:rPr>
                <w:sz w:val="20"/>
                <w:szCs w:val="20"/>
                <w:color w:val="auto"/>
              </w:rPr>
            </w:pPr>
            <w:r>
              <w:rPr>
                <w:rFonts w:ascii="Arial" w:cs="Arial" w:eastAsia="Arial" w:hAnsi="Arial"/>
                <w:sz w:val="14"/>
                <w:szCs w:val="14"/>
                <w:color w:val="auto"/>
              </w:rPr>
              <w:t>283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247</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Gain (loss) on dispositions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720" w:type="dxa"/>
            <w:vAlign w:val="bottom"/>
          </w:tcPr>
          <w:p>
            <w:pPr>
              <w:jc w:val="right"/>
              <w:spacing w:after="0"/>
              <w:rPr>
                <w:sz w:val="20"/>
                <w:szCs w:val="20"/>
                <w:color w:val="auto"/>
              </w:rPr>
            </w:pPr>
            <w:r>
              <w:rPr>
                <w:rFonts w:ascii="Arial" w:cs="Arial" w:eastAsia="Arial" w:hAnsi="Arial"/>
                <w:sz w:val="14"/>
                <w:szCs w:val="14"/>
                <w:color w:val="auto"/>
              </w:rPr>
              <w:t>332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5</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0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income</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99"/>
        </w:trPr>
        <w:tc>
          <w:tcPr>
            <w:tcW w:w="36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 revenues and other income</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17,101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14,740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15,522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14,185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61,548</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16,054</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-7620</wp:posOffset>
            </wp:positionV>
            <wp:extent cx="480060" cy="351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0060" cy="3511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-7620</wp:posOffset>
            </wp:positionV>
            <wp:extent cx="480060" cy="351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0060" cy="3511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800" w:type="dxa"/>
            <w:vAlign w:val="bottom"/>
          </w:tcPr>
          <w:p>
            <w:pPr>
              <w:ind w:left="100"/>
              <w:spacing w:after="0"/>
              <w:rPr>
                <w:sz w:val="20"/>
                <w:szCs w:val="20"/>
                <w:color w:val="auto"/>
              </w:rPr>
            </w:pPr>
            <w:r>
              <w:rPr>
                <w:rFonts w:ascii="Arial" w:cs="Arial" w:eastAsia="Arial" w:hAnsi="Arial"/>
                <w:sz w:val="14"/>
                <w:szCs w:val="14"/>
                <w:color w:val="auto"/>
              </w:rPr>
              <w:t>Purchased commodities</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6,188</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5,085</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5,857</w:t>
            </w:r>
          </w:p>
        </w:tc>
        <w:tc>
          <w:tcPr>
            <w:tcW w:w="640" w:type="dxa"/>
            <w:vAlign w:val="bottom"/>
          </w:tcPr>
          <w:p>
            <w:pPr>
              <w:jc w:val="right"/>
              <w:spacing w:after="0"/>
              <w:rPr>
                <w:sz w:val="20"/>
                <w:szCs w:val="20"/>
                <w:color w:val="auto"/>
              </w:rPr>
            </w:pPr>
            <w:r>
              <w:rPr>
                <w:rFonts w:ascii="Arial" w:cs="Arial" w:eastAsia="Arial" w:hAnsi="Arial"/>
                <w:sz w:val="14"/>
                <w:szCs w:val="14"/>
                <w:color w:val="auto"/>
              </w:rPr>
              <w:t>5,195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22,325</w:t>
            </w:r>
          </w:p>
        </w:tc>
        <w:tc>
          <w:tcPr>
            <w:tcW w:w="20" w:type="dxa"/>
            <w:vAlign w:val="bottom"/>
          </w:tcPr>
          <w:p>
            <w:pPr>
              <w:spacing w:after="0"/>
              <w:rPr>
                <w:sz w:val="17"/>
                <w:szCs w:val="17"/>
                <w:color w:val="auto"/>
              </w:rPr>
            </w:pPr>
          </w:p>
        </w:tc>
      </w:tr>
      <w:tr>
        <w:trPr>
          <w:trHeight w:val="203"/>
        </w:trPr>
        <w:tc>
          <w:tcPr>
            <w:tcW w:w="3800" w:type="dxa"/>
            <w:vAlign w:val="bottom"/>
          </w:tcPr>
          <w:p>
            <w:pPr>
              <w:ind w:left="100"/>
              <w:spacing w:after="0"/>
              <w:rPr>
                <w:sz w:val="20"/>
                <w:szCs w:val="20"/>
                <w:color w:val="auto"/>
              </w:rPr>
            </w:pPr>
            <w:r>
              <w:rPr>
                <w:rFonts w:ascii="Arial" w:cs="Arial" w:eastAsia="Arial" w:hAnsi="Arial"/>
                <w:sz w:val="14"/>
                <w:szCs w:val="14"/>
                <w:color w:val="auto"/>
              </w:rPr>
              <w:t>Production and operating expenses</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2,506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2,572</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2,632</w:t>
            </w:r>
          </w:p>
        </w:tc>
        <w:tc>
          <w:tcPr>
            <w:tcW w:w="640" w:type="dxa"/>
            <w:vAlign w:val="bottom"/>
          </w:tcPr>
          <w:p>
            <w:pPr>
              <w:jc w:val="right"/>
              <w:spacing w:after="0"/>
              <w:rPr>
                <w:sz w:val="20"/>
                <w:szCs w:val="20"/>
                <w:color w:val="auto"/>
              </w:rPr>
            </w:pPr>
            <w:r>
              <w:rPr>
                <w:rFonts w:ascii="Arial" w:cs="Arial" w:eastAsia="Arial" w:hAnsi="Arial"/>
                <w:sz w:val="14"/>
                <w:szCs w:val="14"/>
                <w:color w:val="auto"/>
              </w:rPr>
              <w:t>2,621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10,331</w:t>
            </w:r>
          </w:p>
        </w:tc>
        <w:tc>
          <w:tcPr>
            <w:tcW w:w="20" w:type="dxa"/>
            <w:vAlign w:val="bottom"/>
            <w:shd w:val="clear" w:color="auto" w:fill="CCEEFF"/>
          </w:tcPr>
          <w:p>
            <w:pPr>
              <w:spacing w:after="0"/>
              <w:rPr>
                <w:sz w:val="17"/>
                <w:szCs w:val="17"/>
                <w:color w:val="auto"/>
              </w:rPr>
            </w:pPr>
          </w:p>
        </w:tc>
      </w:tr>
      <w:tr>
        <w:trPr>
          <w:trHeight w:val="203"/>
        </w:trPr>
        <w:tc>
          <w:tcPr>
            <w:tcW w:w="3800" w:type="dxa"/>
            <w:vAlign w:val="bottom"/>
          </w:tcPr>
          <w:p>
            <w:pPr>
              <w:ind w:left="100"/>
              <w:spacing w:after="0"/>
              <w:rPr>
                <w:sz w:val="20"/>
                <w:szCs w:val="20"/>
                <w:color w:val="auto"/>
              </w:rPr>
            </w:pPr>
            <w:r>
              <w:rPr>
                <w:rFonts w:ascii="Arial" w:cs="Arial" w:eastAsia="Arial" w:hAnsi="Arial"/>
                <w:sz w:val="14"/>
                <w:szCs w:val="14"/>
                <w:color w:val="auto"/>
              </w:rPr>
              <w:t>Selling, general and administrative expenses</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191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250</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271</w:t>
            </w:r>
          </w:p>
        </w:tc>
        <w:tc>
          <w:tcPr>
            <w:tcW w:w="640" w:type="dxa"/>
            <w:vAlign w:val="bottom"/>
          </w:tcPr>
          <w:p>
            <w:pPr>
              <w:jc w:val="right"/>
              <w:spacing w:after="0"/>
              <w:rPr>
                <w:sz w:val="20"/>
                <w:szCs w:val="20"/>
                <w:color w:val="auto"/>
              </w:rPr>
            </w:pPr>
            <w:r>
              <w:rPr>
                <w:rFonts w:ascii="Arial" w:cs="Arial" w:eastAsia="Arial" w:hAnsi="Arial"/>
                <w:sz w:val="14"/>
                <w:szCs w:val="14"/>
                <w:color w:val="auto"/>
              </w:rPr>
              <w:t>181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20" w:type="dxa"/>
            <w:vAlign w:val="bottom"/>
            <w:shd w:val="clear" w:color="auto" w:fill="CCEEFF"/>
          </w:tcPr>
          <w:p>
            <w:pPr>
              <w:spacing w:after="0"/>
              <w:rPr>
                <w:sz w:val="17"/>
                <w:szCs w:val="17"/>
                <w:color w:val="auto"/>
              </w:rPr>
            </w:pPr>
          </w:p>
        </w:tc>
      </w:tr>
      <w:tr>
        <w:trPr>
          <w:trHeight w:val="203"/>
        </w:trPr>
        <w:tc>
          <w:tcPr>
            <w:tcW w:w="3800" w:type="dxa"/>
            <w:vAlign w:val="bottom"/>
          </w:tcPr>
          <w:p>
            <w:pPr>
              <w:ind w:left="100"/>
              <w:spacing w:after="0"/>
              <w:rPr>
                <w:sz w:val="20"/>
                <w:szCs w:val="20"/>
                <w:color w:val="auto"/>
              </w:rPr>
            </w:pPr>
            <w:r>
              <w:rPr>
                <w:rFonts w:ascii="Arial" w:cs="Arial" w:eastAsia="Arial" w:hAnsi="Arial"/>
                <w:sz w:val="14"/>
                <w:szCs w:val="14"/>
                <w:color w:val="auto"/>
              </w:rPr>
              <w:t>Exploration expenses</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117</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71</w:t>
            </w:r>
          </w:p>
        </w:tc>
        <w:tc>
          <w:tcPr>
            <w:tcW w:w="640" w:type="dxa"/>
            <w:vAlign w:val="bottom"/>
          </w:tcPr>
          <w:p>
            <w:pPr>
              <w:jc w:val="right"/>
              <w:spacing w:after="0"/>
              <w:rPr>
                <w:sz w:val="20"/>
                <w:szCs w:val="20"/>
                <w:color w:val="auto"/>
              </w:rPr>
            </w:pPr>
            <w:r>
              <w:rPr>
                <w:rFonts w:ascii="Arial" w:cs="Arial" w:eastAsia="Arial" w:hAnsi="Arial"/>
                <w:sz w:val="14"/>
                <w:szCs w:val="14"/>
                <w:color w:val="auto"/>
              </w:rPr>
              <w:t>138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20" w:type="dxa"/>
            <w:vAlign w:val="bottom"/>
            <w:shd w:val="clear" w:color="auto" w:fill="CCEEFF"/>
          </w:tcPr>
          <w:p>
            <w:pPr>
              <w:spacing w:after="0"/>
              <w:rPr>
                <w:sz w:val="17"/>
                <w:szCs w:val="17"/>
                <w:color w:val="auto"/>
              </w:rPr>
            </w:pPr>
          </w:p>
        </w:tc>
      </w:tr>
      <w:tr>
        <w:trPr>
          <w:trHeight w:val="203"/>
        </w:trPr>
        <w:tc>
          <w:tcPr>
            <w:tcW w:w="3800" w:type="dxa"/>
            <w:vAlign w:val="bottom"/>
          </w:tcPr>
          <w:p>
            <w:pPr>
              <w:ind w:left="100"/>
              <w:spacing w:after="0"/>
              <w:rPr>
                <w:sz w:val="20"/>
                <w:szCs w:val="20"/>
                <w:color w:val="auto"/>
              </w:rPr>
            </w:pPr>
            <w:r>
              <w:rPr>
                <w:rFonts w:ascii="Arial" w:cs="Arial" w:eastAsia="Arial" w:hAnsi="Arial"/>
                <w:sz w:val="14"/>
                <w:szCs w:val="14"/>
                <w:color w:val="auto"/>
              </w:rPr>
              <w:t>Depreciation, depletion and amortization</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2,746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2,838</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2,917</w:t>
            </w:r>
          </w:p>
        </w:tc>
        <w:tc>
          <w:tcPr>
            <w:tcW w:w="640" w:type="dxa"/>
            <w:vAlign w:val="bottom"/>
          </w:tcPr>
          <w:p>
            <w:pPr>
              <w:jc w:val="right"/>
              <w:spacing w:after="0"/>
              <w:rPr>
                <w:sz w:val="20"/>
                <w:szCs w:val="20"/>
                <w:color w:val="auto"/>
              </w:rPr>
            </w:pPr>
            <w:r>
              <w:rPr>
                <w:rFonts w:ascii="Arial" w:cs="Arial" w:eastAsia="Arial" w:hAnsi="Arial"/>
                <w:sz w:val="14"/>
                <w:szCs w:val="14"/>
                <w:color w:val="auto"/>
              </w:rPr>
              <w:t>2,999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w:t>
            </w:r>
          </w:p>
        </w:tc>
        <w:tc>
          <w:tcPr>
            <w:tcW w:w="20" w:type="dxa"/>
            <w:vAlign w:val="bottom"/>
            <w:shd w:val="clear" w:color="auto" w:fill="CCEEFF"/>
          </w:tcPr>
          <w:p>
            <w:pPr>
              <w:spacing w:after="0"/>
              <w:rPr>
                <w:sz w:val="17"/>
                <w:szCs w:val="17"/>
                <w:color w:val="auto"/>
              </w:rPr>
            </w:pPr>
          </w:p>
        </w:tc>
      </w:tr>
      <w:tr>
        <w:trPr>
          <w:trHeight w:val="203"/>
        </w:trPr>
        <w:tc>
          <w:tcPr>
            <w:tcW w:w="3800" w:type="dxa"/>
            <w:vAlign w:val="bottom"/>
          </w:tcPr>
          <w:p>
            <w:pPr>
              <w:ind w:left="100"/>
              <w:spacing w:after="0"/>
              <w:rPr>
                <w:sz w:val="20"/>
                <w:szCs w:val="20"/>
                <w:color w:val="auto"/>
              </w:rPr>
            </w:pPr>
            <w:r>
              <w:rPr>
                <w:rFonts w:ascii="Arial" w:cs="Arial" w:eastAsia="Arial" w:hAnsi="Arial"/>
                <w:sz w:val="14"/>
                <w:szCs w:val="14"/>
                <w:color w:val="auto"/>
              </w:rPr>
              <w:t>Impairments</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7"/>
                <w:szCs w:val="17"/>
                <w:color w:val="auto"/>
              </w:rPr>
            </w:pPr>
          </w:p>
        </w:tc>
      </w:tr>
      <w:tr>
        <w:trPr>
          <w:trHeight w:val="203"/>
        </w:trPr>
        <w:tc>
          <w:tcPr>
            <w:tcW w:w="3800" w:type="dxa"/>
            <w:vAlign w:val="bottom"/>
          </w:tcPr>
          <w:p>
            <w:pPr>
              <w:ind w:left="100"/>
              <w:spacing w:after="0"/>
              <w:rPr>
                <w:sz w:val="20"/>
                <w:szCs w:val="20"/>
                <w:color w:val="auto"/>
              </w:rPr>
            </w:pPr>
            <w:r>
              <w:rPr>
                <w:rFonts w:ascii="Arial" w:cs="Arial" w:eastAsia="Arial" w:hAnsi="Arial"/>
                <w:sz w:val="14"/>
                <w:szCs w:val="14"/>
                <w:color w:val="auto"/>
              </w:rPr>
              <w:t>Taxes other than income taxes</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551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525</w:t>
            </w:r>
          </w:p>
        </w:tc>
        <w:tc>
          <w:tcPr>
            <w:tcW w:w="640" w:type="dxa"/>
            <w:vAlign w:val="bottom"/>
          </w:tcPr>
          <w:p>
            <w:pPr>
              <w:jc w:val="right"/>
              <w:spacing w:after="0"/>
              <w:rPr>
                <w:sz w:val="20"/>
                <w:szCs w:val="20"/>
                <w:color w:val="auto"/>
              </w:rPr>
            </w:pPr>
            <w:r>
              <w:rPr>
                <w:rFonts w:ascii="Arial" w:cs="Arial" w:eastAsia="Arial" w:hAnsi="Arial"/>
                <w:sz w:val="14"/>
                <w:szCs w:val="14"/>
                <w:color w:val="auto"/>
              </w:rPr>
              <w:t>498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2,146</w:t>
            </w:r>
          </w:p>
        </w:tc>
        <w:tc>
          <w:tcPr>
            <w:tcW w:w="20" w:type="dxa"/>
            <w:vAlign w:val="bottom"/>
            <w:shd w:val="clear" w:color="auto" w:fill="CCEEFF"/>
          </w:tcPr>
          <w:p>
            <w:pPr>
              <w:spacing w:after="0"/>
              <w:rPr>
                <w:sz w:val="17"/>
                <w:szCs w:val="17"/>
                <w:color w:val="auto"/>
              </w:rPr>
            </w:pPr>
          </w:p>
        </w:tc>
      </w:tr>
      <w:tr>
        <w:trPr>
          <w:trHeight w:val="203"/>
        </w:trPr>
        <w:tc>
          <w:tcPr>
            <w:tcW w:w="3800" w:type="dxa"/>
            <w:vAlign w:val="bottom"/>
          </w:tcPr>
          <w:p>
            <w:pPr>
              <w:ind w:left="100"/>
              <w:spacing w:after="0"/>
              <w:rPr>
                <w:sz w:val="20"/>
                <w:szCs w:val="20"/>
                <w:color w:val="auto"/>
              </w:rPr>
            </w:pPr>
            <w:r>
              <w:rPr>
                <w:rFonts w:ascii="Arial" w:cs="Arial" w:eastAsia="Arial" w:hAnsi="Arial"/>
                <w:sz w:val="14"/>
                <w:szCs w:val="14"/>
                <w:color w:val="auto"/>
              </w:rPr>
              <w:t>Accretion on discounted liabilities</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94</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95</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94</w:t>
            </w:r>
          </w:p>
        </w:tc>
        <w:tc>
          <w:tcPr>
            <w:tcW w:w="640" w:type="dxa"/>
            <w:vAlign w:val="bottom"/>
          </w:tcPr>
          <w:p>
            <w:pPr>
              <w:jc w:val="right"/>
              <w:spacing w:after="0"/>
              <w:rPr>
                <w:sz w:val="20"/>
                <w:szCs w:val="20"/>
                <w:color w:val="auto"/>
              </w:rPr>
            </w:pPr>
            <w:r>
              <w:rPr>
                <w:rFonts w:ascii="Arial" w:cs="Arial" w:eastAsia="Arial" w:hAnsi="Arial"/>
                <w:sz w:val="14"/>
                <w:szCs w:val="14"/>
                <w:color w:val="auto"/>
              </w:rPr>
              <w:t>95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20" w:type="dxa"/>
            <w:vAlign w:val="bottom"/>
            <w:shd w:val="clear" w:color="auto" w:fill="CCEEFF"/>
          </w:tcPr>
          <w:p>
            <w:pPr>
              <w:spacing w:after="0"/>
              <w:rPr>
                <w:sz w:val="17"/>
                <w:szCs w:val="17"/>
                <w:color w:val="auto"/>
              </w:rPr>
            </w:pPr>
          </w:p>
        </w:tc>
      </w:tr>
      <w:tr>
        <w:trPr>
          <w:trHeight w:val="203"/>
        </w:trPr>
        <w:tc>
          <w:tcPr>
            <w:tcW w:w="3800" w:type="dxa"/>
            <w:vAlign w:val="bottom"/>
          </w:tcPr>
          <w:p>
            <w:pPr>
              <w:ind w:left="100"/>
              <w:spacing w:after="0"/>
              <w:rPr>
                <w:sz w:val="20"/>
                <w:szCs w:val="20"/>
                <w:color w:val="auto"/>
              </w:rPr>
            </w:pPr>
            <w:r>
              <w:rPr>
                <w:rFonts w:ascii="Arial" w:cs="Arial" w:eastAsia="Arial" w:hAnsi="Arial"/>
                <w:sz w:val="14"/>
                <w:szCs w:val="14"/>
                <w:color w:val="auto"/>
              </w:rPr>
              <w:t>Interest and debt expense</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205</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232</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223</w:t>
            </w:r>
          </w:p>
        </w:tc>
        <w:tc>
          <w:tcPr>
            <w:tcW w:w="640" w:type="dxa"/>
            <w:vAlign w:val="bottom"/>
          </w:tcPr>
          <w:p>
            <w:pPr>
              <w:jc w:val="right"/>
              <w:spacing w:after="0"/>
              <w:rPr>
                <w:sz w:val="20"/>
                <w:szCs w:val="20"/>
                <w:color w:val="auto"/>
              </w:rPr>
            </w:pPr>
            <w:r>
              <w:rPr>
                <w:rFonts w:ascii="Arial" w:cs="Arial" w:eastAsia="Arial" w:hAnsi="Arial"/>
                <w:sz w:val="14"/>
                <w:szCs w:val="14"/>
                <w:color w:val="auto"/>
              </w:rPr>
              <w:t>195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20" w:type="dxa"/>
            <w:vAlign w:val="bottom"/>
            <w:shd w:val="clear" w:color="auto" w:fill="CCEEFF"/>
          </w:tcPr>
          <w:p>
            <w:pPr>
              <w:spacing w:after="0"/>
              <w:rPr>
                <w:sz w:val="17"/>
                <w:szCs w:val="17"/>
                <w:color w:val="auto"/>
              </w:rPr>
            </w:pPr>
          </w:p>
        </w:tc>
      </w:tr>
      <w:tr>
        <w:trPr>
          <w:trHeight w:val="203"/>
        </w:trPr>
        <w:tc>
          <w:tcPr>
            <w:tcW w:w="3800" w:type="dxa"/>
            <w:vAlign w:val="bottom"/>
          </w:tcPr>
          <w:p>
            <w:pPr>
              <w:ind w:left="100"/>
              <w:spacing w:after="0"/>
              <w:rPr>
                <w:sz w:val="20"/>
                <w:szCs w:val="20"/>
                <w:color w:val="auto"/>
              </w:rPr>
            </w:pPr>
            <w:r>
              <w:rPr>
                <w:rFonts w:ascii="Arial" w:cs="Arial" w:eastAsia="Arial" w:hAnsi="Arial"/>
                <w:sz w:val="14"/>
                <w:szCs w:val="14"/>
                <w:color w:val="auto"/>
              </w:rPr>
              <w:t>Foreign currency transactions (gain) loss</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7"/>
                <w:szCs w:val="17"/>
                <w:color w:val="auto"/>
              </w:rPr>
            </w:pPr>
          </w:p>
        </w:tc>
      </w:tr>
      <w:tr>
        <w:trPr>
          <w:trHeight w:val="207"/>
        </w:trPr>
        <w:tc>
          <w:tcPr>
            <w:tcW w:w="3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expenses</w:t>
            </w: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9"/>
        </w:trPr>
        <w:tc>
          <w:tcPr>
            <w:tcW w:w="3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 costs and expenses</w:t>
            </w: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12,635</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11,723</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12,594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11,940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48,892</w:t>
            </w:r>
          </w:p>
        </w:tc>
        <w:tc>
          <w:tcPr>
            <w:tcW w:w="20" w:type="dxa"/>
            <w:vAlign w:val="bottom"/>
            <w:tcBorders>
              <w:bottom w:val="single" w:sz="8" w:color="auto"/>
            </w:tcBorders>
            <w:shd w:val="clear" w:color="auto" w:fill="CCEEFF"/>
          </w:tcPr>
          <w:p>
            <w:pPr>
              <w:spacing w:after="0"/>
              <w:rPr>
                <w:sz w:val="17"/>
                <w:szCs w:val="17"/>
                <w:color w:val="auto"/>
              </w:rPr>
            </w:pPr>
          </w:p>
        </w:tc>
      </w:tr>
      <w:tr>
        <w:trPr>
          <w:trHeight w:val="195"/>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4,466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3,017</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2,928</w:t>
            </w:r>
          </w:p>
        </w:tc>
        <w:tc>
          <w:tcPr>
            <w:tcW w:w="640" w:type="dxa"/>
            <w:vAlign w:val="bottom"/>
          </w:tcPr>
          <w:p>
            <w:pPr>
              <w:jc w:val="right"/>
              <w:spacing w:after="0"/>
              <w:rPr>
                <w:sz w:val="20"/>
                <w:szCs w:val="20"/>
                <w:color w:val="auto"/>
              </w:rPr>
            </w:pPr>
            <w:r>
              <w:rPr>
                <w:rFonts w:ascii="Arial" w:cs="Arial" w:eastAsia="Arial" w:hAnsi="Arial"/>
                <w:sz w:val="14"/>
                <w:szCs w:val="14"/>
                <w:color w:val="auto"/>
              </w:rPr>
              <w:t>2,245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12,656</w:t>
            </w:r>
          </w:p>
        </w:tc>
        <w:tc>
          <w:tcPr>
            <w:tcW w:w="20" w:type="dxa"/>
            <w:vAlign w:val="bottom"/>
            <w:shd w:val="clear" w:color="auto" w:fill="CCEEFF"/>
          </w:tcPr>
          <w:p>
            <w:pPr>
              <w:spacing w:after="0"/>
              <w:rPr>
                <w:sz w:val="16"/>
                <w:szCs w:val="16"/>
                <w:color w:val="auto"/>
              </w:rPr>
            </w:pPr>
          </w:p>
        </w:tc>
      </w:tr>
      <w:tr>
        <w:trPr>
          <w:trHeight w:val="200"/>
        </w:trPr>
        <w:tc>
          <w:tcPr>
            <w:tcW w:w="3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Income tax provision (benefit)</w:t>
            </w: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1,617</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1,046</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1,202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4,668</w:t>
            </w:r>
          </w:p>
        </w:tc>
        <w:tc>
          <w:tcPr>
            <w:tcW w:w="20" w:type="dxa"/>
            <w:vAlign w:val="bottom"/>
            <w:tcBorders>
              <w:bottom w:val="single" w:sz="8" w:color="auto"/>
            </w:tcBorders>
            <w:shd w:val="clear" w:color="auto" w:fill="CCEEFF"/>
          </w:tcPr>
          <w:p>
            <w:pPr>
              <w:spacing w:after="0"/>
              <w:rPr>
                <w:sz w:val="17"/>
                <w:szCs w:val="17"/>
                <w:color w:val="auto"/>
              </w:rPr>
            </w:pPr>
          </w:p>
        </w:tc>
      </w:tr>
      <w:tr>
        <w:trPr>
          <w:trHeight w:val="240"/>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2,849</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1,971</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1,726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7,988</w:t>
            </w:r>
          </w:p>
        </w:tc>
        <w:tc>
          <w:tcPr>
            <w:tcW w:w="20" w:type="dxa"/>
            <w:vAlign w:val="bottom"/>
            <w:tcBorders>
              <w:bottom w:val="single" w:sz="8" w:color="auto"/>
            </w:tcBorders>
            <w:shd w:val="clear" w:color="auto" w:fill="CCEEFF"/>
          </w:tcPr>
          <w:p>
            <w:pPr>
              <w:spacing w:after="0"/>
              <w:rPr>
                <w:sz w:val="20"/>
                <w:szCs w:val="20"/>
                <w:color w:val="auto"/>
              </w:rPr>
            </w:pPr>
          </w:p>
        </w:tc>
      </w:tr>
      <w:tr>
        <w:trPr>
          <w:trHeight w:val="316"/>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Net income (loss) per share of common stock (dollars)</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96"/>
        </w:trPr>
        <w:tc>
          <w:tcPr>
            <w:tcW w:w="3800" w:type="dxa"/>
            <w:vAlign w:val="bottom"/>
          </w:tcPr>
          <w:p>
            <w:pPr>
              <w:ind w:left="100"/>
              <w:spacing w:after="0"/>
              <w:rPr>
                <w:sz w:val="20"/>
                <w:szCs w:val="20"/>
                <w:color w:val="auto"/>
              </w:rPr>
            </w:pPr>
            <w:r>
              <w:rPr>
                <w:rFonts w:ascii="Arial" w:cs="Arial" w:eastAsia="Arial" w:hAnsi="Arial"/>
                <w:sz w:val="14"/>
                <w:szCs w:val="14"/>
                <w:color w:val="auto"/>
              </w:rPr>
              <w:t>Basic</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2.23</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1.56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1.38</w:t>
            </w:r>
          </w:p>
        </w:tc>
        <w:tc>
          <w:tcPr>
            <w:tcW w:w="640" w:type="dxa"/>
            <w:vAlign w:val="bottom"/>
          </w:tcPr>
          <w:p>
            <w:pPr>
              <w:jc w:val="right"/>
              <w:spacing w:after="0"/>
              <w:rPr>
                <w:sz w:val="20"/>
                <w:szCs w:val="20"/>
                <w:color w:val="auto"/>
              </w:rPr>
            </w:pPr>
            <w:r>
              <w:rPr>
                <w:rFonts w:ascii="Arial" w:cs="Arial" w:eastAsia="Arial" w:hAnsi="Arial"/>
                <w:sz w:val="14"/>
                <w:szCs w:val="14"/>
                <w:color w:val="auto"/>
              </w:rPr>
              <w:t>1.17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20" w:type="dxa"/>
            <w:vAlign w:val="bottom"/>
            <w:shd w:val="clear" w:color="auto" w:fill="CCEEFF"/>
          </w:tcPr>
          <w:p>
            <w:pPr>
              <w:spacing w:after="0"/>
              <w:rPr>
                <w:sz w:val="17"/>
                <w:szCs w:val="17"/>
                <w:color w:val="auto"/>
              </w:rPr>
            </w:pPr>
          </w:p>
        </w:tc>
      </w:tr>
      <w:tr>
        <w:trPr>
          <w:trHeight w:val="207"/>
        </w:trPr>
        <w:tc>
          <w:tcPr>
            <w:tcW w:w="3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Diluted</w:t>
            </w: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2.23</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1.56</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20" w:type="dxa"/>
            <w:vAlign w:val="bottom"/>
            <w:tcBorders>
              <w:bottom w:val="single" w:sz="8" w:color="auto"/>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6,283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6,283</w:t>
            </w:r>
          </w:p>
        </w:tc>
        <w:tc>
          <w:tcPr>
            <w:tcW w:w="20" w:type="dxa"/>
            <w:vAlign w:val="bottom"/>
          </w:tcPr>
          <w:p>
            <w:pPr>
              <w:spacing w:after="0"/>
              <w:rPr>
                <w:sz w:val="17"/>
                <w:szCs w:val="17"/>
                <w:color w:val="auto"/>
              </w:rPr>
            </w:pPr>
          </w:p>
        </w:tc>
      </w:tr>
      <w:tr>
        <w:trPr>
          <w:trHeight w:val="194"/>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2,276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2,276</w:t>
            </w:r>
          </w:p>
        </w:tc>
        <w:tc>
          <w:tcPr>
            <w:tcW w:w="20" w:type="dxa"/>
            <w:vAlign w:val="bottom"/>
            <w:shd w:val="clear" w:color="auto" w:fill="CCEEFF"/>
          </w:tcPr>
          <w:p>
            <w:pPr>
              <w:spacing w:after="0"/>
              <w:rPr>
                <w:sz w:val="16"/>
                <w:szCs w:val="16"/>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193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109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2,906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607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97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198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12,691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12,691</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3,363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3,363</w:t>
            </w:r>
          </w:p>
        </w:tc>
        <w:tc>
          <w:tcPr>
            <w:tcW w:w="20" w:type="dxa"/>
            <w:vAlign w:val="bottom"/>
            <w:shd w:val="clear" w:color="auto" w:fill="CCEEFF"/>
          </w:tcPr>
          <w:p>
            <w:pPr>
              <w:spacing w:after="0"/>
              <w:rPr>
                <w:sz w:val="16"/>
                <w:szCs w:val="16"/>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1,180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20" w:type="dxa"/>
            <w:vAlign w:val="bottom"/>
            <w:tcBorders>
              <w:bottom w:val="single" w:sz="8" w:color="auto"/>
            </w:tcBorders>
            <w:shd w:val="clear" w:color="auto" w:fill="CCEEFF"/>
          </w:tcPr>
          <w:p>
            <w:pPr>
              <w:spacing w:after="0"/>
              <w:rPr>
                <w:sz w:val="17"/>
                <w:szCs w:val="17"/>
                <w:color w:val="auto"/>
              </w:rPr>
            </w:pPr>
          </w:p>
        </w:tc>
      </w:tr>
      <w:tr>
        <w:trPr>
          <w:trHeight w:val="240"/>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2,183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w:t>
            </w:r>
          </w:p>
        </w:tc>
        <w:tc>
          <w:tcPr>
            <w:tcW w:w="20" w:type="dxa"/>
            <w:vAlign w:val="bottom"/>
            <w:tcBorders>
              <w:bottom w:val="single" w:sz="8" w:color="auto"/>
            </w:tcBorders>
            <w:shd w:val="clear" w:color="auto" w:fill="CCEEFF"/>
          </w:tcPr>
          <w:p>
            <w:pPr>
              <w:spacing w:after="0"/>
              <w:rPr>
                <w:sz w:val="20"/>
                <w:szCs w:val="20"/>
                <w:color w:val="auto"/>
              </w:rPr>
            </w:pPr>
          </w:p>
        </w:tc>
      </w:tr>
      <w:tr>
        <w:trPr>
          <w:trHeight w:val="51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1.78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20" w:type="dxa"/>
            <w:vAlign w:val="bottom"/>
            <w:shd w:val="clear" w:color="auto" w:fill="CCEEFF"/>
          </w:tcPr>
          <w:p>
            <w:pPr>
              <w:spacing w:after="0"/>
              <w:rPr>
                <w:sz w:val="24"/>
                <w:szCs w:val="24"/>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1.78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20" w:type="dxa"/>
            <w:vAlign w:val="bottom"/>
            <w:tcBorders>
              <w:bottom w:val="single" w:sz="8" w:color="auto"/>
            </w:tcBorders>
            <w:shd w:val="clear" w:color="auto" w:fill="CCEEFF"/>
          </w:tcPr>
          <w:p>
            <w:pPr>
              <w:spacing w:after="0"/>
              <w:rPr>
                <w:sz w:val="17"/>
                <w:szCs w:val="17"/>
                <w:color w:val="auto"/>
              </w:rPr>
            </w:pPr>
          </w:p>
        </w:tc>
      </w:tr>
    </w:tbl>
    <w:p>
      <w:pPr>
        <w:spacing w:after="0" w:line="20" w:lineRule="exact"/>
        <w:rPr>
          <w:sz w:val="20"/>
          <w:szCs w:val="20"/>
          <w:color w:val="auto"/>
        </w:rPr>
      </w:pPr>
    </w:p>
    <w:p>
      <w:pPr>
        <w:sectPr>
          <w:pgSz w:w="11900" w:h="16838" w:orient="portrait"/>
          <w:cols w:equalWidth="0" w:num="2">
            <w:col w:w="7380" w:space="80"/>
            <w:col w:w="37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315"/>
        </w:trPr>
        <w:tc>
          <w:tcPr>
            <w:tcW w:w="438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Weighted-average common shares outstanding (in thousands)*</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6"/>
        </w:trPr>
        <w:tc>
          <w:tcPr>
            <w:tcW w:w="3280" w:type="dxa"/>
            <w:vAlign w:val="bottom"/>
          </w:tcPr>
          <w:p>
            <w:pPr>
              <w:ind w:left="100"/>
              <w:spacing w:after="0"/>
              <w:rPr>
                <w:sz w:val="20"/>
                <w:szCs w:val="20"/>
                <w:color w:val="auto"/>
              </w:rPr>
            </w:pPr>
            <w:r>
              <w:rPr>
                <w:rFonts w:ascii="Arial" w:cs="Arial" w:eastAsia="Arial" w:hAnsi="Arial"/>
                <w:sz w:val="14"/>
                <w:szCs w:val="14"/>
                <w:color w:val="auto"/>
              </w:rPr>
              <w:t>Basic</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1,273,350</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1,257,512</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1,245,253</w:t>
            </w:r>
          </w:p>
        </w:tc>
        <w:tc>
          <w:tcPr>
            <w:tcW w:w="740" w:type="dxa"/>
            <w:vAlign w:val="bottom"/>
          </w:tcPr>
          <w:p>
            <w:pPr>
              <w:jc w:val="right"/>
              <w:spacing w:after="0"/>
              <w:rPr>
                <w:sz w:val="20"/>
                <w:szCs w:val="20"/>
                <w:color w:val="auto"/>
              </w:rPr>
            </w:pPr>
            <w:r>
              <w:rPr>
                <w:rFonts w:ascii="Arial" w:cs="Arial" w:eastAsia="Arial" w:hAnsi="Arial"/>
                <w:sz w:val="14"/>
                <w:szCs w:val="14"/>
                <w:color w:val="auto"/>
              </w:rPr>
              <w:t>1,232,575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1,252,042</w:t>
            </w:r>
          </w:p>
        </w:tc>
        <w:tc>
          <w:tcPr>
            <w:tcW w:w="3100" w:type="dxa"/>
            <w:vAlign w:val="bottom"/>
            <w:gridSpan w:val="2"/>
          </w:tcPr>
          <w:p>
            <w:pPr>
              <w:jc w:val="right"/>
              <w:ind w:right="2340"/>
              <w:spacing w:after="0"/>
              <w:rPr>
                <w:sz w:val="20"/>
                <w:szCs w:val="20"/>
                <w:color w:val="auto"/>
              </w:rPr>
            </w:pPr>
            <w:r>
              <w:rPr>
                <w:rFonts w:ascii="Arial" w:cs="Arial" w:eastAsia="Arial" w:hAnsi="Arial"/>
                <w:sz w:val="14"/>
                <w:szCs w:val="14"/>
                <w:color w:val="auto"/>
              </w:rPr>
              <w:t>1,224,036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1,224,036</w:t>
            </w:r>
          </w:p>
        </w:tc>
      </w:tr>
      <w:tr>
        <w:trPr>
          <w:trHeight w:val="207"/>
        </w:trPr>
        <w:tc>
          <w:tcPr>
            <w:tcW w:w="3280" w:type="dxa"/>
            <w:vAlign w:val="bottom"/>
          </w:tcPr>
          <w:p>
            <w:pPr>
              <w:ind w:left="100"/>
              <w:spacing w:after="0"/>
              <w:rPr>
                <w:sz w:val="20"/>
                <w:szCs w:val="20"/>
                <w:color w:val="auto"/>
              </w:rPr>
            </w:pPr>
            <w:r>
              <w:rPr>
                <w:rFonts w:ascii="Arial" w:cs="Arial" w:eastAsia="Arial" w:hAnsi="Arial"/>
                <w:sz w:val="14"/>
                <w:szCs w:val="14"/>
                <w:color w:val="auto"/>
              </w:rPr>
              <w:t>Diluted</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1,274,879</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1,258,998</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1,246,854</w:t>
            </w:r>
          </w:p>
        </w:tc>
        <w:tc>
          <w:tcPr>
            <w:tcW w:w="740" w:type="dxa"/>
            <w:vAlign w:val="bottom"/>
          </w:tcPr>
          <w:p>
            <w:pPr>
              <w:jc w:val="right"/>
              <w:spacing w:after="0"/>
              <w:rPr>
                <w:sz w:val="20"/>
                <w:szCs w:val="20"/>
                <w:color w:val="auto"/>
              </w:rPr>
            </w:pPr>
            <w:r>
              <w:rPr>
                <w:rFonts w:ascii="Arial" w:cs="Arial" w:eastAsia="Arial" w:hAnsi="Arial"/>
                <w:sz w:val="14"/>
                <w:szCs w:val="14"/>
                <w:color w:val="auto"/>
              </w:rPr>
              <w:t>1,233,956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1,253,446</w:t>
            </w:r>
          </w:p>
        </w:tc>
        <w:tc>
          <w:tcPr>
            <w:tcW w:w="3100" w:type="dxa"/>
            <w:vAlign w:val="bottom"/>
            <w:gridSpan w:val="2"/>
          </w:tcPr>
          <w:p>
            <w:pPr>
              <w:jc w:val="right"/>
              <w:ind w:right="2340"/>
              <w:spacing w:after="0"/>
              <w:rPr>
                <w:sz w:val="20"/>
                <w:szCs w:val="20"/>
                <w:color w:val="auto"/>
              </w:rPr>
            </w:pPr>
            <w:r>
              <w:rPr>
                <w:rFonts w:ascii="Arial" w:cs="Arial" w:eastAsia="Arial" w:hAnsi="Arial"/>
                <w:sz w:val="14"/>
                <w:szCs w:val="14"/>
                <w:color w:val="auto"/>
              </w:rPr>
              <w:t>1,224,960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1,224,960</w:t>
            </w:r>
          </w:p>
        </w:tc>
      </w:tr>
      <w:tr>
        <w:trPr>
          <w:trHeight w:val="152"/>
        </w:trPr>
        <w:tc>
          <w:tcPr>
            <w:tcW w:w="6620" w:type="dxa"/>
            <w:vAlign w:val="bottom"/>
            <w:tcBorders>
              <w:top w:val="single" w:sz="8" w:color="auto"/>
            </w:tcBorders>
            <w:gridSpan w:val="5"/>
          </w:tcPr>
          <w:p>
            <w:pPr>
              <w:ind w:left="20"/>
              <w:spacing w:after="0" w:line="152" w:lineRule="exact"/>
              <w:rPr>
                <w:sz w:val="20"/>
                <w:szCs w:val="20"/>
                <w:color w:val="auto"/>
              </w:rPr>
            </w:pPr>
            <w:r>
              <w:rPr>
                <w:rFonts w:ascii="Arial" w:cs="Arial" w:eastAsia="Arial" w:hAnsi="Arial"/>
                <w:sz w:val="14"/>
                <w:szCs w:val="14"/>
                <w:i w:val="1"/>
                <w:iCs w:val="1"/>
                <w:color w:val="auto"/>
              </w:rPr>
              <w:t>*Ending common shares outstanding is 1,218,294 as of March 31, 2026, compared with 1,225,168 as</w:t>
            </w: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188"/>
        </w:trPr>
        <w:tc>
          <w:tcPr>
            <w:tcW w:w="3280" w:type="dxa"/>
            <w:vAlign w:val="bottom"/>
          </w:tcPr>
          <w:p>
            <w:pPr>
              <w:ind w:left="20"/>
              <w:spacing w:after="0"/>
              <w:rPr>
                <w:sz w:val="20"/>
                <w:szCs w:val="20"/>
                <w:color w:val="auto"/>
              </w:rPr>
            </w:pPr>
            <w:r>
              <w:rPr>
                <w:rFonts w:ascii="Arial" w:cs="Arial" w:eastAsia="Arial" w:hAnsi="Arial"/>
                <w:sz w:val="14"/>
                <w:szCs w:val="14"/>
                <w:i w:val="1"/>
                <w:iCs w:val="1"/>
                <w:color w:val="auto"/>
              </w:rPr>
              <w:t>of December 31, 2025.</w:t>
            </w: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411"/>
        </w:trPr>
        <w:tc>
          <w:tcPr>
            <w:tcW w:w="3280" w:type="dxa"/>
            <w:vAlign w:val="bottom"/>
          </w:tcPr>
          <w:p>
            <w:pPr>
              <w:ind w:left="20"/>
              <w:spacing w:after="0"/>
              <w:rPr>
                <w:sz w:val="20"/>
                <w:szCs w:val="20"/>
                <w:color w:val="auto"/>
              </w:rPr>
            </w:pPr>
            <w:r>
              <w:rPr>
                <w:rFonts w:ascii="Arial" w:cs="Arial" w:eastAsia="Arial" w:hAnsi="Arial"/>
                <w:sz w:val="14"/>
                <w:szCs w:val="14"/>
                <w:b w:val="1"/>
                <w:bCs w:val="1"/>
                <w:color w:val="0000FF"/>
              </w:rPr>
              <w:t>INCOME (LOSS) BEFORE INCOME TAXES</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345"/>
        </w:trPr>
        <w:tc>
          <w:tcPr>
            <w:tcW w:w="3280" w:type="dxa"/>
            <w:vAlign w:val="bottom"/>
          </w:tcPr>
          <w:p>
            <w:pPr>
              <w:ind w:left="20"/>
              <w:spacing w:after="0"/>
              <w:rPr>
                <w:sz w:val="20"/>
                <w:szCs w:val="20"/>
                <w:color w:val="auto"/>
              </w:rPr>
            </w:pPr>
            <w:r>
              <w:rPr>
                <w:rFonts w:ascii="Arial" w:cs="Arial" w:eastAsia="Arial" w:hAnsi="Arial"/>
                <w:sz w:val="14"/>
                <w:szCs w:val="14"/>
                <w:color w:val="auto"/>
              </w:rPr>
              <w:t>Alaska</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466</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191</w:t>
            </w:r>
          </w:p>
        </w:tc>
        <w:tc>
          <w:tcPr>
            <w:tcW w:w="740" w:type="dxa"/>
            <w:vAlign w:val="bottom"/>
          </w:tcPr>
          <w:p>
            <w:pPr>
              <w:jc w:val="right"/>
              <w:spacing w:after="0"/>
              <w:rPr>
                <w:sz w:val="20"/>
                <w:szCs w:val="20"/>
                <w:color w:val="auto"/>
              </w:rPr>
            </w:pPr>
            <w:r>
              <w:rPr>
                <w:rFonts w:ascii="Arial" w:cs="Arial" w:eastAsia="Arial" w:hAnsi="Arial"/>
                <w:sz w:val="14"/>
                <w:szCs w:val="14"/>
                <w:color w:val="auto"/>
              </w:rPr>
              <w:t>162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3100" w:type="dxa"/>
            <w:vAlign w:val="bottom"/>
            <w:gridSpan w:val="2"/>
          </w:tcPr>
          <w:p>
            <w:pPr>
              <w:jc w:val="right"/>
              <w:ind w:right="2340"/>
              <w:spacing w:after="0"/>
              <w:rPr>
                <w:sz w:val="20"/>
                <w:szCs w:val="20"/>
                <w:color w:val="auto"/>
              </w:rPr>
            </w:pPr>
            <w:r>
              <w:rPr>
                <w:rFonts w:ascii="Arial" w:cs="Arial" w:eastAsia="Arial" w:hAnsi="Arial"/>
                <w:sz w:val="14"/>
                <w:szCs w:val="14"/>
                <w:color w:val="auto"/>
              </w:rPr>
              <w:t>386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r>
      <w:tr>
        <w:trPr>
          <w:trHeight w:val="351"/>
        </w:trPr>
        <w:tc>
          <w:tcPr>
            <w:tcW w:w="3280" w:type="dxa"/>
            <w:vAlign w:val="bottom"/>
          </w:tcPr>
          <w:p>
            <w:pPr>
              <w:ind w:left="20"/>
              <w:spacing w:after="0"/>
              <w:rPr>
                <w:sz w:val="20"/>
                <w:szCs w:val="20"/>
                <w:color w:val="auto"/>
              </w:rPr>
            </w:pPr>
            <w:r>
              <w:rPr>
                <w:rFonts w:ascii="Arial" w:cs="Arial" w:eastAsia="Arial" w:hAnsi="Arial"/>
                <w:sz w:val="14"/>
                <w:szCs w:val="14"/>
                <w:color w:val="auto"/>
              </w:rPr>
              <w:t>Lower 48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2,238</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1,781</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1,585</w:t>
            </w:r>
          </w:p>
        </w:tc>
        <w:tc>
          <w:tcPr>
            <w:tcW w:w="740" w:type="dxa"/>
            <w:vAlign w:val="bottom"/>
          </w:tcPr>
          <w:p>
            <w:pPr>
              <w:jc w:val="right"/>
              <w:spacing w:after="0"/>
              <w:rPr>
                <w:sz w:val="20"/>
                <w:szCs w:val="20"/>
                <w:color w:val="auto"/>
              </w:rPr>
            </w:pPr>
            <w:r>
              <w:rPr>
                <w:rFonts w:ascii="Arial" w:cs="Arial" w:eastAsia="Arial" w:hAnsi="Arial"/>
                <w:sz w:val="14"/>
                <w:szCs w:val="14"/>
                <w:color w:val="auto"/>
              </w:rPr>
              <w:t>1,040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6,644</w:t>
            </w:r>
          </w:p>
        </w:tc>
        <w:tc>
          <w:tcPr>
            <w:tcW w:w="3100" w:type="dxa"/>
            <w:vAlign w:val="bottom"/>
            <w:gridSpan w:val="2"/>
          </w:tcPr>
          <w:p>
            <w:pPr>
              <w:jc w:val="right"/>
              <w:ind w:right="2340"/>
              <w:spacing w:after="0"/>
              <w:rPr>
                <w:sz w:val="20"/>
                <w:szCs w:val="20"/>
                <w:color w:val="auto"/>
              </w:rPr>
            </w:pPr>
            <w:r>
              <w:rPr>
                <w:rFonts w:ascii="Arial" w:cs="Arial" w:eastAsia="Arial" w:hAnsi="Arial"/>
                <w:sz w:val="14"/>
                <w:szCs w:val="14"/>
                <w:color w:val="auto"/>
              </w:rPr>
              <w:t>1,798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w:t>
            </w:r>
          </w:p>
        </w:tc>
      </w:tr>
      <w:tr>
        <w:trPr>
          <w:trHeight w:val="351"/>
        </w:trPr>
        <w:tc>
          <w:tcPr>
            <w:tcW w:w="3280" w:type="dxa"/>
            <w:vAlign w:val="bottom"/>
          </w:tcPr>
          <w:p>
            <w:pPr>
              <w:ind w:left="20"/>
              <w:spacing w:after="0"/>
              <w:rPr>
                <w:sz w:val="20"/>
                <w:szCs w:val="20"/>
                <w:color w:val="auto"/>
              </w:rPr>
            </w:pPr>
            <w:r>
              <w:rPr>
                <w:rFonts w:ascii="Arial" w:cs="Arial" w:eastAsia="Arial" w:hAnsi="Arial"/>
                <w:sz w:val="14"/>
                <w:szCs w:val="14"/>
                <w:color w:val="auto"/>
              </w:rPr>
              <w:t>Canada</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199</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740" w:type="dxa"/>
            <w:vAlign w:val="bottom"/>
          </w:tcPr>
          <w:p>
            <w:pPr>
              <w:jc w:val="right"/>
              <w:spacing w:after="0"/>
              <w:rPr>
                <w:sz w:val="20"/>
                <w:szCs w:val="20"/>
                <w:color w:val="auto"/>
              </w:rPr>
            </w:pPr>
            <w:r>
              <w:rPr>
                <w:rFonts w:ascii="Arial" w:cs="Arial" w:eastAsia="Arial" w:hAnsi="Arial"/>
                <w:sz w:val="14"/>
                <w:szCs w:val="14"/>
                <w:color w:val="auto"/>
              </w:rPr>
              <w:t>193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3100" w:type="dxa"/>
            <w:vAlign w:val="bottom"/>
            <w:gridSpan w:val="2"/>
          </w:tcPr>
          <w:p>
            <w:pPr>
              <w:jc w:val="right"/>
              <w:ind w:right="2340"/>
              <w:spacing w:after="0"/>
              <w:rPr>
                <w:sz w:val="20"/>
                <w:szCs w:val="20"/>
                <w:color w:val="auto"/>
              </w:rPr>
            </w:pPr>
            <w:r>
              <w:rPr>
                <w:rFonts w:ascii="Arial" w:cs="Arial" w:eastAsia="Arial" w:hAnsi="Arial"/>
                <w:sz w:val="14"/>
                <w:szCs w:val="14"/>
                <w:color w:val="auto"/>
              </w:rPr>
              <w:t>112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351"/>
        </w:trPr>
        <w:tc>
          <w:tcPr>
            <w:tcW w:w="3280" w:type="dxa"/>
            <w:vAlign w:val="bottom"/>
          </w:tcPr>
          <w:p>
            <w:pPr>
              <w:ind w:left="20"/>
              <w:spacing w:after="0"/>
              <w:rPr>
                <w:sz w:val="20"/>
                <w:szCs w:val="20"/>
                <w:color w:val="auto"/>
              </w:rPr>
            </w:pPr>
            <w:r>
              <w:rPr>
                <w:rFonts w:ascii="Arial" w:cs="Arial" w:eastAsia="Arial" w:hAnsi="Arial"/>
                <w:sz w:val="14"/>
                <w:szCs w:val="14"/>
                <w:color w:val="auto"/>
              </w:rPr>
              <w:t>Europe, Middle East and North Africa</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1,341</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830</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1,003</w:t>
            </w:r>
          </w:p>
        </w:tc>
        <w:tc>
          <w:tcPr>
            <w:tcW w:w="740" w:type="dxa"/>
            <w:vAlign w:val="bottom"/>
          </w:tcPr>
          <w:p>
            <w:pPr>
              <w:jc w:val="right"/>
              <w:spacing w:after="0"/>
              <w:rPr>
                <w:sz w:val="20"/>
                <w:szCs w:val="20"/>
                <w:color w:val="auto"/>
              </w:rPr>
            </w:pPr>
            <w:r>
              <w:rPr>
                <w:rFonts w:ascii="Arial" w:cs="Arial" w:eastAsia="Arial" w:hAnsi="Arial"/>
                <w:sz w:val="14"/>
                <w:szCs w:val="14"/>
                <w:color w:val="auto"/>
              </w:rPr>
              <w:t>870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4,044</w:t>
            </w:r>
          </w:p>
        </w:tc>
        <w:tc>
          <w:tcPr>
            <w:tcW w:w="3100" w:type="dxa"/>
            <w:vAlign w:val="bottom"/>
            <w:gridSpan w:val="2"/>
          </w:tcPr>
          <w:p>
            <w:pPr>
              <w:jc w:val="right"/>
              <w:ind w:right="2340"/>
              <w:spacing w:after="0"/>
              <w:rPr>
                <w:sz w:val="20"/>
                <w:szCs w:val="20"/>
                <w:color w:val="auto"/>
              </w:rPr>
            </w:pPr>
            <w:r>
              <w:rPr>
                <w:rFonts w:ascii="Arial" w:cs="Arial" w:eastAsia="Arial" w:hAnsi="Arial"/>
                <w:sz w:val="14"/>
                <w:szCs w:val="14"/>
                <w:color w:val="auto"/>
              </w:rPr>
              <w:t>990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r>
      <w:tr>
        <w:trPr>
          <w:trHeight w:val="351"/>
        </w:trPr>
        <w:tc>
          <w:tcPr>
            <w:tcW w:w="32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397</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398</w:t>
            </w:r>
          </w:p>
        </w:tc>
        <w:tc>
          <w:tcPr>
            <w:tcW w:w="740" w:type="dxa"/>
            <w:vAlign w:val="bottom"/>
          </w:tcPr>
          <w:p>
            <w:pPr>
              <w:jc w:val="right"/>
              <w:spacing w:after="0"/>
              <w:rPr>
                <w:sz w:val="20"/>
                <w:szCs w:val="20"/>
                <w:color w:val="auto"/>
              </w:rPr>
            </w:pPr>
            <w:r>
              <w:rPr>
                <w:rFonts w:ascii="Arial" w:cs="Arial" w:eastAsia="Arial" w:hAnsi="Arial"/>
                <w:sz w:val="14"/>
                <w:szCs w:val="14"/>
                <w:color w:val="auto"/>
              </w:rPr>
              <w:t>235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w:t>
            </w:r>
          </w:p>
        </w:tc>
        <w:tc>
          <w:tcPr>
            <w:tcW w:w="3100" w:type="dxa"/>
            <w:vAlign w:val="bottom"/>
            <w:gridSpan w:val="2"/>
          </w:tcPr>
          <w:p>
            <w:pPr>
              <w:jc w:val="right"/>
              <w:ind w:right="2340"/>
              <w:spacing w:after="0"/>
              <w:rPr>
                <w:sz w:val="20"/>
                <w:szCs w:val="20"/>
                <w:color w:val="auto"/>
              </w:rPr>
            </w:pPr>
            <w:r>
              <w:rPr>
                <w:rFonts w:ascii="Arial" w:cs="Arial" w:eastAsia="Arial" w:hAnsi="Arial"/>
                <w:sz w:val="14"/>
                <w:szCs w:val="14"/>
                <w:color w:val="auto"/>
              </w:rPr>
              <w:t>355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r>
      <w:tr>
        <w:trPr>
          <w:trHeight w:val="351"/>
        </w:trPr>
        <w:tc>
          <w:tcPr>
            <w:tcW w:w="328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1100" w:type="dxa"/>
            <w:vAlign w:val="bottom"/>
          </w:tcPr>
          <w:p>
            <w:pPr>
              <w:jc w:val="right"/>
              <w:spacing w:after="0"/>
              <w:rPr>
                <w:sz w:val="20"/>
                <w:szCs w:val="20"/>
                <w:color w:val="auto"/>
              </w:rPr>
            </w:pPr>
            <w:r>
              <w:rPr>
                <w:rFonts w:ascii="Arial" w:cs="Arial" w:eastAsia="Arial" w:hAnsi="Arial"/>
                <w:sz w:val="14"/>
                <w:szCs w:val="14"/>
                <w:color w:val="auto"/>
              </w:rPr>
              <w:t>(291)</w:t>
            </w:r>
          </w:p>
        </w:tc>
        <w:tc>
          <w:tcPr>
            <w:tcW w:w="740" w:type="dxa"/>
            <w:vAlign w:val="bottom"/>
          </w:tcPr>
          <w:p>
            <w:pPr>
              <w:jc w:val="right"/>
              <w:spacing w:after="0"/>
              <w:rPr>
                <w:sz w:val="20"/>
                <w:szCs w:val="20"/>
                <w:color w:val="auto"/>
              </w:rPr>
            </w:pPr>
            <w:r>
              <w:rPr>
                <w:rFonts w:ascii="Arial" w:cs="Arial" w:eastAsia="Arial" w:hAnsi="Arial"/>
                <w:sz w:val="14"/>
                <w:szCs w:val="14"/>
                <w:color w:val="auto"/>
              </w:rPr>
              <w:t>(372)</w:t>
            </w:r>
          </w:p>
        </w:tc>
        <w:tc>
          <w:tcPr>
            <w:tcW w:w="760" w:type="dxa"/>
            <w:vAlign w:val="bottom"/>
          </w:tcPr>
          <w:p>
            <w:pPr>
              <w:jc w:val="right"/>
              <w:spacing w:after="0"/>
              <w:rPr>
                <w:sz w:val="20"/>
                <w:szCs w:val="20"/>
                <w:color w:val="auto"/>
              </w:rPr>
            </w:pPr>
            <w:r>
              <w:rPr>
                <w:rFonts w:ascii="Arial" w:cs="Arial" w:eastAsia="Arial" w:hAnsi="Arial"/>
                <w:sz w:val="14"/>
                <w:szCs w:val="14"/>
                <w:color w:val="auto"/>
              </w:rPr>
              <w:t>(497)</w:t>
            </w:r>
          </w:p>
        </w:tc>
        <w:tc>
          <w:tcPr>
            <w:tcW w:w="740" w:type="dxa"/>
            <w:vAlign w:val="bottom"/>
          </w:tcPr>
          <w:p>
            <w:pPr>
              <w:jc w:val="right"/>
              <w:spacing w:after="0"/>
              <w:rPr>
                <w:sz w:val="20"/>
                <w:szCs w:val="20"/>
                <w:color w:val="auto"/>
              </w:rPr>
            </w:pPr>
            <w:r>
              <w:rPr>
                <w:rFonts w:ascii="Arial" w:cs="Arial" w:eastAsia="Arial" w:hAnsi="Arial"/>
                <w:sz w:val="14"/>
                <w:szCs w:val="14"/>
                <w:color w:val="auto"/>
              </w:rPr>
              <w:t>(255)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3100" w:type="dxa"/>
            <w:vAlign w:val="bottom"/>
            <w:gridSpan w:val="2"/>
          </w:tcPr>
          <w:p>
            <w:pPr>
              <w:jc w:val="right"/>
              <w:ind w:right="2300"/>
              <w:spacing w:after="0"/>
              <w:rPr>
                <w:sz w:val="20"/>
                <w:szCs w:val="20"/>
                <w:color w:val="auto"/>
              </w:rPr>
            </w:pPr>
            <w:r>
              <w:rPr>
                <w:rFonts w:ascii="Arial" w:cs="Arial" w:eastAsia="Arial" w:hAnsi="Arial"/>
                <w:sz w:val="14"/>
                <w:szCs w:val="14"/>
                <w:color w:val="auto"/>
              </w:rPr>
              <w:t>(278)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r>
      <w:tr>
        <w:trPr>
          <w:trHeight w:val="157"/>
        </w:trPr>
        <w:tc>
          <w:tcPr>
            <w:tcW w:w="3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Consolidated</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4,466</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3,017</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2,928</w:t>
            </w:r>
          </w:p>
        </w:tc>
        <w:tc>
          <w:tcPr>
            <w:tcW w:w="740" w:type="dxa"/>
            <w:vAlign w:val="bottom"/>
          </w:tcPr>
          <w:p>
            <w:pPr>
              <w:jc w:val="right"/>
              <w:spacing w:after="0"/>
              <w:rPr>
                <w:sz w:val="20"/>
                <w:szCs w:val="20"/>
                <w:color w:val="auto"/>
              </w:rPr>
            </w:pPr>
            <w:r>
              <w:rPr>
                <w:rFonts w:ascii="Arial" w:cs="Arial" w:eastAsia="Arial" w:hAnsi="Arial"/>
                <w:sz w:val="14"/>
                <w:szCs w:val="14"/>
                <w:color w:val="auto"/>
              </w:rPr>
              <w:t>2,245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12,656</w:t>
            </w:r>
          </w:p>
        </w:tc>
        <w:tc>
          <w:tcPr>
            <w:tcW w:w="3100" w:type="dxa"/>
            <w:vAlign w:val="bottom"/>
            <w:gridSpan w:val="2"/>
          </w:tcPr>
          <w:p>
            <w:pPr>
              <w:jc w:val="right"/>
              <w:ind w:right="2340"/>
              <w:spacing w:after="0"/>
              <w:rPr>
                <w:sz w:val="20"/>
                <w:szCs w:val="20"/>
                <w:color w:val="auto"/>
              </w:rPr>
            </w:pPr>
            <w:r>
              <w:rPr>
                <w:rFonts w:ascii="Arial" w:cs="Arial" w:eastAsia="Arial" w:hAnsi="Arial"/>
                <w:sz w:val="14"/>
                <w:szCs w:val="14"/>
                <w:color w:val="auto"/>
              </w:rPr>
              <w:t>3,363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3,363</w:t>
            </w:r>
          </w:p>
        </w:tc>
      </w:tr>
      <w:tr>
        <w:trPr>
          <w:trHeight w:val="20"/>
        </w:trPr>
        <w:tc>
          <w:tcPr>
            <w:tcW w:w="3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0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195"/>
        </w:trPr>
        <w:tc>
          <w:tcPr>
            <w:tcW w:w="3200" w:type="dxa"/>
            <w:vAlign w:val="bottom"/>
          </w:tcPr>
          <w:p>
            <w:pPr>
              <w:spacing w:after="0"/>
              <w:rPr>
                <w:sz w:val="16"/>
                <w:szCs w:val="16"/>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1st Qtr</w:t>
            </w: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2nd Qtr</w:t>
            </w: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3rd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4th Qtr</w:t>
            </w:r>
          </w:p>
        </w:tc>
        <w:tc>
          <w:tcPr>
            <w:tcW w:w="84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Full Year</w:t>
            </w:r>
          </w:p>
        </w:tc>
      </w:tr>
      <w:tr>
        <w:trPr>
          <w:trHeight w:val="183"/>
        </w:trPr>
        <w:tc>
          <w:tcPr>
            <w:tcW w:w="3200" w:type="dxa"/>
            <w:vAlign w:val="bottom"/>
          </w:tcPr>
          <w:p>
            <w:pPr>
              <w:ind w:left="20"/>
              <w:spacing w:after="0"/>
              <w:rPr>
                <w:sz w:val="20"/>
                <w:szCs w:val="20"/>
                <w:color w:val="auto"/>
              </w:rPr>
            </w:pPr>
            <w:r>
              <w:rPr>
                <w:rFonts w:ascii="Arial" w:cs="Arial" w:eastAsia="Arial" w:hAnsi="Arial"/>
                <w:sz w:val="14"/>
                <w:szCs w:val="14"/>
                <w:b w:val="1"/>
                <w:bCs w:val="1"/>
                <w:color w:val="0000FF"/>
              </w:rPr>
              <w:t>EFFECTIVE INCOME TAX RATES</w:t>
            </w: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413"/>
        </w:trPr>
        <w:tc>
          <w:tcPr>
            <w:tcW w:w="3200" w:type="dxa"/>
            <w:vAlign w:val="bottom"/>
          </w:tcPr>
          <w:p>
            <w:pPr>
              <w:ind w:left="20"/>
              <w:spacing w:after="0"/>
              <w:rPr>
                <w:sz w:val="20"/>
                <w:szCs w:val="20"/>
                <w:color w:val="auto"/>
              </w:rPr>
            </w:pPr>
            <w:r>
              <w:rPr>
                <w:rFonts w:ascii="Arial" w:cs="Arial" w:eastAsia="Arial" w:hAnsi="Arial"/>
                <w:sz w:val="14"/>
                <w:szCs w:val="14"/>
                <w:color w:val="auto"/>
              </w:rPr>
              <w:t>Alaska*</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29.8 %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26.0 %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32.0 %</w:t>
            </w:r>
          </w:p>
        </w:tc>
        <w:tc>
          <w:tcPr>
            <w:tcW w:w="760" w:type="dxa"/>
            <w:vAlign w:val="bottom"/>
          </w:tcPr>
          <w:p>
            <w:pPr>
              <w:jc w:val="right"/>
              <w:spacing w:after="0"/>
              <w:rPr>
                <w:sz w:val="20"/>
                <w:szCs w:val="20"/>
                <w:color w:val="auto"/>
              </w:rPr>
            </w:pPr>
            <w:r>
              <w:rPr>
                <w:rFonts w:ascii="Arial" w:cs="Arial" w:eastAsia="Arial" w:hAnsi="Arial"/>
                <w:sz w:val="14"/>
                <w:szCs w:val="14"/>
                <w:color w:val="auto"/>
              </w:rPr>
              <w:t>14.3 %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27.0 %</w:t>
            </w:r>
          </w:p>
        </w:tc>
      </w:tr>
      <w:tr>
        <w:trPr>
          <w:trHeight w:val="351"/>
        </w:trPr>
        <w:tc>
          <w:tcPr>
            <w:tcW w:w="3200" w:type="dxa"/>
            <w:vAlign w:val="bottom"/>
          </w:tcPr>
          <w:p>
            <w:pPr>
              <w:ind w:left="20"/>
              <w:spacing w:after="0"/>
              <w:rPr>
                <w:sz w:val="20"/>
                <w:szCs w:val="20"/>
                <w:color w:val="auto"/>
              </w:rPr>
            </w:pPr>
            <w:r>
              <w:rPr>
                <w:rFonts w:ascii="Arial" w:cs="Arial" w:eastAsia="Arial" w:hAnsi="Arial"/>
                <w:sz w:val="14"/>
                <w:szCs w:val="14"/>
                <w:color w:val="auto"/>
              </w:rPr>
              <w:t>Lower 48</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20.0 %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21.5 %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21.7 %</w:t>
            </w:r>
          </w:p>
        </w:tc>
        <w:tc>
          <w:tcPr>
            <w:tcW w:w="760" w:type="dxa"/>
            <w:vAlign w:val="bottom"/>
          </w:tcPr>
          <w:p>
            <w:pPr>
              <w:jc w:val="right"/>
              <w:spacing w:after="0"/>
              <w:rPr>
                <w:sz w:val="20"/>
                <w:szCs w:val="20"/>
                <w:color w:val="auto"/>
              </w:rPr>
            </w:pPr>
            <w:r>
              <w:rPr>
                <w:rFonts w:ascii="Arial" w:cs="Arial" w:eastAsia="Arial" w:hAnsi="Arial"/>
                <w:sz w:val="14"/>
                <w:szCs w:val="14"/>
                <w:color w:val="auto"/>
              </w:rPr>
              <w:t>19.7 %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20.8 %</w:t>
            </w:r>
          </w:p>
        </w:tc>
      </w:tr>
      <w:tr>
        <w:trPr>
          <w:trHeight w:val="351"/>
        </w:trPr>
        <w:tc>
          <w:tcPr>
            <w:tcW w:w="3200" w:type="dxa"/>
            <w:vAlign w:val="bottom"/>
          </w:tcPr>
          <w:p>
            <w:pPr>
              <w:ind w:left="20"/>
              <w:spacing w:after="0"/>
              <w:rPr>
                <w:sz w:val="20"/>
                <w:szCs w:val="20"/>
                <w:color w:val="auto"/>
              </w:rPr>
            </w:pPr>
            <w:r>
              <w:rPr>
                <w:rFonts w:ascii="Arial" w:cs="Arial" w:eastAsia="Arial" w:hAnsi="Arial"/>
                <w:sz w:val="14"/>
                <w:szCs w:val="14"/>
                <w:color w:val="auto"/>
              </w:rPr>
              <w:t>Canada</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24.1 %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25.2 %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24.1 %</w:t>
            </w:r>
          </w:p>
        </w:tc>
        <w:tc>
          <w:tcPr>
            <w:tcW w:w="760" w:type="dxa"/>
            <w:vAlign w:val="bottom"/>
          </w:tcPr>
          <w:p>
            <w:pPr>
              <w:jc w:val="right"/>
              <w:spacing w:after="0"/>
              <w:rPr>
                <w:sz w:val="20"/>
                <w:szCs w:val="20"/>
                <w:color w:val="auto"/>
              </w:rPr>
            </w:pPr>
            <w:r>
              <w:rPr>
                <w:rFonts w:ascii="Arial" w:cs="Arial" w:eastAsia="Arial" w:hAnsi="Arial"/>
                <w:sz w:val="14"/>
                <w:szCs w:val="14"/>
                <w:color w:val="auto"/>
              </w:rPr>
              <w:t>23.2 %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24.1 %</w:t>
            </w:r>
          </w:p>
        </w:tc>
      </w:tr>
      <w:tr>
        <w:trPr>
          <w:trHeight w:val="351"/>
        </w:trPr>
        <w:tc>
          <w:tcPr>
            <w:tcW w:w="3200" w:type="dxa"/>
            <w:vAlign w:val="bottom"/>
          </w:tcPr>
          <w:p>
            <w:pPr>
              <w:ind w:left="20"/>
              <w:spacing w:after="0"/>
              <w:rPr>
                <w:sz w:val="20"/>
                <w:szCs w:val="20"/>
                <w:color w:val="auto"/>
              </w:rPr>
            </w:pPr>
            <w:r>
              <w:rPr>
                <w:rFonts w:ascii="Arial" w:cs="Arial" w:eastAsia="Arial" w:hAnsi="Arial"/>
                <w:sz w:val="14"/>
                <w:szCs w:val="14"/>
                <w:color w:val="auto"/>
              </w:rPr>
              <w:t>Europe, Middle East and North Africa</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68.8 %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71.4 %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67.4 %</w:t>
            </w:r>
          </w:p>
        </w:tc>
        <w:tc>
          <w:tcPr>
            <w:tcW w:w="760" w:type="dxa"/>
            <w:vAlign w:val="bottom"/>
          </w:tcPr>
          <w:p>
            <w:pPr>
              <w:jc w:val="right"/>
              <w:spacing w:after="0"/>
              <w:rPr>
                <w:sz w:val="20"/>
                <w:szCs w:val="20"/>
                <w:color w:val="auto"/>
              </w:rPr>
            </w:pPr>
            <w:r>
              <w:rPr>
                <w:rFonts w:ascii="Arial" w:cs="Arial" w:eastAsia="Arial" w:hAnsi="Arial"/>
                <w:sz w:val="14"/>
                <w:szCs w:val="14"/>
                <w:color w:val="auto"/>
              </w:rPr>
              <w:t>72.4 %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69.7 %</w:t>
            </w:r>
          </w:p>
        </w:tc>
      </w:tr>
      <w:tr>
        <w:trPr>
          <w:trHeight w:val="351"/>
        </w:trPr>
        <w:tc>
          <w:tcPr>
            <w:tcW w:w="32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17.1 %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16.8 %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22.5 %</w:t>
            </w:r>
          </w:p>
        </w:tc>
        <w:tc>
          <w:tcPr>
            <w:tcW w:w="760" w:type="dxa"/>
            <w:vAlign w:val="bottom"/>
          </w:tcPr>
          <w:p>
            <w:pPr>
              <w:jc w:val="right"/>
              <w:spacing w:after="0"/>
              <w:rPr>
                <w:sz w:val="20"/>
                <w:szCs w:val="20"/>
                <w:color w:val="auto"/>
              </w:rPr>
            </w:pPr>
            <w:r>
              <w:rPr>
                <w:rFonts w:ascii="Arial" w:cs="Arial" w:eastAsia="Arial" w:hAnsi="Arial"/>
                <w:sz w:val="14"/>
                <w:szCs w:val="14"/>
                <w:color w:val="auto"/>
              </w:rPr>
              <w:t>7.5 %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16.9 %</w:t>
            </w:r>
          </w:p>
        </w:tc>
      </w:tr>
      <w:tr>
        <w:trPr>
          <w:trHeight w:val="351"/>
        </w:trPr>
        <w:tc>
          <w:tcPr>
            <w:tcW w:w="320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12.7 %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24.9 %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5.8 %</w:t>
            </w:r>
          </w:p>
        </w:tc>
        <w:tc>
          <w:tcPr>
            <w:tcW w:w="760" w:type="dxa"/>
            <w:vAlign w:val="bottom"/>
          </w:tcPr>
          <w:p>
            <w:pPr>
              <w:jc w:val="right"/>
              <w:spacing w:after="0"/>
              <w:rPr>
                <w:sz w:val="20"/>
                <w:szCs w:val="20"/>
                <w:color w:val="auto"/>
              </w:rPr>
            </w:pPr>
            <w:r>
              <w:rPr>
                <w:rFonts w:ascii="Arial" w:cs="Arial" w:eastAsia="Arial" w:hAnsi="Arial"/>
                <w:sz w:val="14"/>
                <w:szCs w:val="14"/>
                <w:color w:val="auto"/>
              </w:rPr>
              <w:t>46.4 %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19.6 %</w:t>
            </w:r>
          </w:p>
        </w:tc>
      </w:tr>
      <w:tr>
        <w:trPr>
          <w:trHeight w:val="157"/>
        </w:trPr>
        <w:tc>
          <w:tcPr>
            <w:tcW w:w="3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shd w:val="clear" w:color="auto" w:fill="CCEEFF"/>
          </w:tcPr>
          <w:p>
            <w:pPr>
              <w:spacing w:after="0"/>
              <w:rPr>
                <w:sz w:val="13"/>
                <w:szCs w:val="13"/>
                <w:color w:val="auto"/>
              </w:rPr>
            </w:pPr>
          </w:p>
        </w:tc>
      </w:tr>
      <w:tr>
        <w:trPr>
          <w:trHeight w:val="23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36.2 %</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34.7 %</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41.0 %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i w:val="1"/>
                <w:iCs w:val="1"/>
                <w:color w:val="auto"/>
              </w:rPr>
              <w:t>*Alaska including taxes other than income taxes</w:t>
            </w:r>
          </w:p>
        </w:tc>
        <w:tc>
          <w:tcPr>
            <w:tcW w:w="900" w:type="dxa"/>
            <w:vAlign w:val="bottom"/>
          </w:tcPr>
          <w:p>
            <w:pPr>
              <w:jc w:val="right"/>
              <w:ind w:right="8"/>
              <w:spacing w:after="0"/>
              <w:rPr>
                <w:sz w:val="20"/>
                <w:szCs w:val="20"/>
                <w:color w:val="auto"/>
              </w:rPr>
            </w:pPr>
            <w:r>
              <w:rPr>
                <w:rFonts w:ascii="Arial" w:cs="Arial" w:eastAsia="Arial" w:hAnsi="Arial"/>
                <w:sz w:val="14"/>
                <w:szCs w:val="14"/>
                <w:i w:val="1"/>
                <w:iCs w:val="1"/>
                <w:color w:val="auto"/>
              </w:rPr>
              <w:t>37.8 %</w:t>
            </w:r>
          </w:p>
        </w:tc>
        <w:tc>
          <w:tcPr>
            <w:tcW w:w="840" w:type="dxa"/>
            <w:vAlign w:val="bottom"/>
          </w:tcPr>
          <w:p>
            <w:pPr>
              <w:jc w:val="right"/>
              <w:ind w:right="8"/>
              <w:spacing w:after="0"/>
              <w:rPr>
                <w:sz w:val="20"/>
                <w:szCs w:val="20"/>
                <w:color w:val="auto"/>
              </w:rPr>
            </w:pPr>
            <w:r>
              <w:rPr>
                <w:rFonts w:ascii="Arial" w:cs="Arial" w:eastAsia="Arial" w:hAnsi="Arial"/>
                <w:sz w:val="14"/>
                <w:szCs w:val="14"/>
                <w:i w:val="1"/>
                <w:iCs w:val="1"/>
                <w:color w:val="auto"/>
              </w:rPr>
              <w:t>56.6 %</w:t>
            </w:r>
          </w:p>
        </w:tc>
        <w:tc>
          <w:tcPr>
            <w:tcW w:w="840" w:type="dxa"/>
            <w:vAlign w:val="bottom"/>
          </w:tcPr>
          <w:p>
            <w:pPr>
              <w:jc w:val="right"/>
              <w:ind w:right="28"/>
              <w:spacing w:after="0"/>
              <w:rPr>
                <w:sz w:val="20"/>
                <w:szCs w:val="20"/>
                <w:color w:val="auto"/>
              </w:rPr>
            </w:pPr>
            <w:r>
              <w:rPr>
                <w:rFonts w:ascii="Arial" w:cs="Arial" w:eastAsia="Arial" w:hAnsi="Arial"/>
                <w:sz w:val="14"/>
                <w:szCs w:val="14"/>
                <w:i w:val="1"/>
                <w:iCs w:val="1"/>
                <w:color w:val="auto"/>
              </w:rPr>
              <w:t>58.8 %</w:t>
            </w: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51.7 %</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49.2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79"/>
                <w:shd w:val="clear" w:color="auto" w:fill="CCEEFF"/>
              </w:rPr>
              <w:t>%</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1st Qtr    2nd Qtr   3rd Qtr   4th Qtr</w:t>
            </w:r>
          </w:p>
        </w:tc>
        <w:tc>
          <w:tcPr>
            <w:tcW w:w="840" w:type="dxa"/>
            <w:vAlign w:val="bottom"/>
            <w:tcBorders>
              <w:top w:val="single" w:sz="8" w:color="auto"/>
              <w:bottom w:val="single" w:sz="8" w:color="auto"/>
            </w:tcBorders>
            <w:gridSpan w:val="2"/>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YTD</w:t>
            </w:r>
          </w:p>
        </w:tc>
      </w:tr>
      <w:tr>
        <w:trPr>
          <w:trHeight w:val="594"/>
        </w:trPr>
        <w:tc>
          <w:tcPr>
            <w:tcW w:w="2940" w:type="dxa"/>
            <w:vAlign w:val="bottom"/>
          </w:tcPr>
          <w:p>
            <w:pPr>
              <w:jc w:val="right"/>
              <w:ind w:right="2048"/>
              <w:spacing w:after="0"/>
              <w:rPr>
                <w:sz w:val="20"/>
                <w:szCs w:val="20"/>
                <w:color w:val="auto"/>
              </w:rPr>
            </w:pPr>
            <w:r>
              <w:rPr>
                <w:rFonts w:ascii="Arial" w:cs="Arial" w:eastAsia="Arial" w:hAnsi="Arial"/>
                <w:sz w:val="14"/>
                <w:szCs w:val="14"/>
                <w:color w:val="auto"/>
              </w:rPr>
              <w:t>23.8 %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23.8 %</w:t>
            </w:r>
          </w:p>
        </w:tc>
      </w:tr>
      <w:tr>
        <w:trPr>
          <w:trHeight w:val="351"/>
        </w:trPr>
        <w:tc>
          <w:tcPr>
            <w:tcW w:w="2940" w:type="dxa"/>
            <w:vAlign w:val="bottom"/>
          </w:tcPr>
          <w:p>
            <w:pPr>
              <w:jc w:val="right"/>
              <w:ind w:right="2048"/>
              <w:spacing w:after="0"/>
              <w:rPr>
                <w:sz w:val="20"/>
                <w:szCs w:val="20"/>
                <w:color w:val="auto"/>
              </w:rPr>
            </w:pPr>
            <w:r>
              <w:rPr>
                <w:rFonts w:ascii="Arial" w:cs="Arial" w:eastAsia="Arial" w:hAnsi="Arial"/>
                <w:sz w:val="14"/>
                <w:szCs w:val="14"/>
                <w:color w:val="auto"/>
              </w:rPr>
              <w:t>21.9 %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21.9 %</w:t>
            </w:r>
          </w:p>
        </w:tc>
      </w:tr>
      <w:tr>
        <w:trPr>
          <w:trHeight w:val="351"/>
        </w:trPr>
        <w:tc>
          <w:tcPr>
            <w:tcW w:w="2940" w:type="dxa"/>
            <w:vAlign w:val="bottom"/>
          </w:tcPr>
          <w:p>
            <w:pPr>
              <w:jc w:val="right"/>
              <w:ind w:right="2048"/>
              <w:spacing w:after="0"/>
              <w:rPr>
                <w:sz w:val="20"/>
                <w:szCs w:val="20"/>
                <w:color w:val="auto"/>
              </w:rPr>
            </w:pPr>
            <w:r>
              <w:rPr>
                <w:rFonts w:ascii="Arial" w:cs="Arial" w:eastAsia="Arial" w:hAnsi="Arial"/>
                <w:sz w:val="14"/>
                <w:szCs w:val="14"/>
                <w:color w:val="auto"/>
              </w:rPr>
              <w:t>24.2 %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24.2 %</w:t>
            </w:r>
          </w:p>
        </w:tc>
      </w:tr>
      <w:tr>
        <w:trPr>
          <w:trHeight w:val="351"/>
        </w:trPr>
        <w:tc>
          <w:tcPr>
            <w:tcW w:w="2940" w:type="dxa"/>
            <w:vAlign w:val="bottom"/>
          </w:tcPr>
          <w:p>
            <w:pPr>
              <w:jc w:val="right"/>
              <w:ind w:right="2048"/>
              <w:spacing w:after="0"/>
              <w:rPr>
                <w:sz w:val="20"/>
                <w:szCs w:val="20"/>
                <w:color w:val="auto"/>
              </w:rPr>
            </w:pPr>
            <w:r>
              <w:rPr>
                <w:rFonts w:ascii="Arial" w:cs="Arial" w:eastAsia="Arial" w:hAnsi="Arial"/>
                <w:sz w:val="14"/>
                <w:szCs w:val="14"/>
                <w:color w:val="auto"/>
              </w:rPr>
              <w:t>73.2 %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73.2 %</w:t>
            </w:r>
          </w:p>
        </w:tc>
      </w:tr>
      <w:tr>
        <w:trPr>
          <w:trHeight w:val="351"/>
        </w:trPr>
        <w:tc>
          <w:tcPr>
            <w:tcW w:w="2940" w:type="dxa"/>
            <w:vAlign w:val="bottom"/>
          </w:tcPr>
          <w:p>
            <w:pPr>
              <w:jc w:val="right"/>
              <w:ind w:right="2048"/>
              <w:spacing w:after="0"/>
              <w:rPr>
                <w:sz w:val="20"/>
                <w:szCs w:val="20"/>
                <w:color w:val="auto"/>
              </w:rPr>
            </w:pPr>
            <w:r>
              <w:rPr>
                <w:rFonts w:ascii="Arial" w:cs="Arial" w:eastAsia="Arial" w:hAnsi="Arial"/>
                <w:sz w:val="14"/>
                <w:szCs w:val="14"/>
                <w:color w:val="auto"/>
              </w:rPr>
              <w:t>17.0 %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17.0 %</w:t>
            </w:r>
          </w:p>
        </w:tc>
      </w:tr>
      <w:tr>
        <w:trPr>
          <w:trHeight w:val="351"/>
        </w:trPr>
        <w:tc>
          <w:tcPr>
            <w:tcW w:w="2940" w:type="dxa"/>
            <w:vAlign w:val="bottom"/>
          </w:tcPr>
          <w:p>
            <w:pPr>
              <w:jc w:val="right"/>
              <w:ind w:right="2048"/>
              <w:spacing w:after="0"/>
              <w:rPr>
                <w:sz w:val="20"/>
                <w:szCs w:val="20"/>
                <w:color w:val="auto"/>
              </w:rPr>
            </w:pPr>
            <w:r>
              <w:rPr>
                <w:rFonts w:ascii="Arial" w:cs="Arial" w:eastAsia="Arial" w:hAnsi="Arial"/>
                <w:sz w:val="14"/>
                <w:szCs w:val="14"/>
                <w:color w:val="auto"/>
              </w:rPr>
              <w:t>42.8 %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42.8 %</w:t>
            </w:r>
          </w:p>
        </w:tc>
      </w:tr>
      <w:tr>
        <w:trPr>
          <w:trHeight w:val="157"/>
        </w:trPr>
        <w:tc>
          <w:tcPr>
            <w:tcW w:w="29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shd w:val="clear" w:color="auto" w:fill="CCEEFF"/>
          </w:tcPr>
          <w:p>
            <w:pPr>
              <w:spacing w:after="0"/>
              <w:rPr>
                <w:sz w:val="13"/>
                <w:szCs w:val="13"/>
                <w:color w:val="auto"/>
              </w:rPr>
            </w:pPr>
          </w:p>
        </w:tc>
      </w:tr>
      <w:tr>
        <w:trPr>
          <w:trHeight w:val="237"/>
        </w:trPr>
        <w:tc>
          <w:tcPr>
            <w:tcW w:w="2940" w:type="dxa"/>
            <w:vAlign w:val="bottom"/>
            <w:tcBorders>
              <w:bottom w:val="single" w:sz="8" w:color="auto"/>
            </w:tcBorders>
          </w:tcPr>
          <w:p>
            <w:pPr>
              <w:jc w:val="right"/>
              <w:ind w:right="2048"/>
              <w:spacing w:after="0"/>
              <w:rPr>
                <w:sz w:val="20"/>
                <w:szCs w:val="20"/>
                <w:color w:val="auto"/>
              </w:rPr>
            </w:pPr>
            <w:r>
              <w:rPr>
                <w:rFonts w:ascii="Arial" w:cs="Arial" w:eastAsia="Arial" w:hAnsi="Arial"/>
                <w:sz w:val="14"/>
                <w:szCs w:val="14"/>
                <w:color w:val="auto"/>
              </w:rPr>
              <w:t>35.1 %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96"/>
        </w:trPr>
        <w:tc>
          <w:tcPr>
            <w:tcW w:w="2940" w:type="dxa"/>
            <w:vAlign w:val="bottom"/>
          </w:tcPr>
          <w:p>
            <w:pPr>
              <w:jc w:val="right"/>
              <w:ind w:right="2048"/>
              <w:spacing w:after="0"/>
              <w:rPr>
                <w:sz w:val="20"/>
                <w:szCs w:val="20"/>
                <w:color w:val="auto"/>
              </w:rPr>
            </w:pPr>
            <w:r>
              <w:rPr>
                <w:rFonts w:ascii="Arial" w:cs="Arial" w:eastAsia="Arial" w:hAnsi="Arial"/>
                <w:sz w:val="14"/>
                <w:szCs w:val="14"/>
                <w:i w:val="1"/>
                <w:iCs w:val="1"/>
                <w:color w:val="auto"/>
              </w:rPr>
              <w:t>45.0 %</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79"/>
                <w:shd w:val="clear" w:color="auto" w:fill="CCEEFF"/>
              </w:rPr>
              <w:t>%</w:t>
            </w:r>
          </w:p>
        </w:tc>
      </w:tr>
    </w:tbl>
    <w:p>
      <w:pPr>
        <w:sectPr>
          <w:pgSz w:w="11900" w:h="16838" w:orient="portrait"/>
          <w:cols w:equalWidth="0" w:num="2">
            <w:col w:w="7380" w:space="80"/>
            <w:col w:w="3780"/>
          </w:cols>
          <w:pgMar w:left="320" w:top="1440" w:right="3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3600" w:type="dxa"/>
        <w:tblCellMar>
          <w:top w:w="0" w:type="dxa"/>
          <w:left w:w="0" w:type="dxa"/>
          <w:bottom w:w="0" w:type="dxa"/>
          <w:right w:w="0" w:type="dxa"/>
        </w:tblCellMar>
      </w:tblPr>
      <w:tr>
        <w:trPr>
          <w:trHeight w:val="197"/>
        </w:trPr>
        <w:tc>
          <w:tcPr>
            <w:tcW w:w="7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1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2026</w:t>
            </w:r>
          </w:p>
        </w:tc>
        <w:tc>
          <w:tcPr>
            <w:tcW w:w="8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95"/>
        </w:trPr>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1st Qtr</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2nd Qtr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3rd Qtr</w:t>
            </w: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Qtr   Full Year</w:t>
            </w: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1st Qtr</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2nd Qtr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3rd Qtr</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4th Qtr</w:t>
            </w:r>
          </w:p>
        </w:tc>
        <w:tc>
          <w:tcPr>
            <w:tcW w:w="700" w:type="dxa"/>
            <w:vAlign w:val="bottom"/>
          </w:tcPr>
          <w:p>
            <w:pPr>
              <w:ind w:left="180"/>
              <w:spacing w:after="0"/>
              <w:rPr>
                <w:sz w:val="20"/>
                <w:szCs w:val="20"/>
                <w:color w:val="auto"/>
              </w:rPr>
            </w:pPr>
            <w:r>
              <w:rPr>
                <w:rFonts w:ascii="Arial" w:cs="Arial" w:eastAsia="Arial" w:hAnsi="Arial"/>
                <w:sz w:val="14"/>
                <w:szCs w:val="14"/>
                <w:b w:val="1"/>
                <w:bCs w:val="1"/>
                <w:color w:val="auto"/>
              </w:rPr>
              <w:t>YTD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-135255</wp:posOffset>
            </wp:positionV>
            <wp:extent cx="4852035" cy="6103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52035" cy="6103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 Millions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00FF"/>
        </w:rPr>
        <w:t>EARNINGS BY SEGMENT</w:t>
      </w:r>
    </w:p>
    <w:p>
      <w:pPr>
        <w:sectPr>
          <w:pgSz w:w="11900" w:h="16838" w:orient="portrait"/>
          <w:cols w:equalWidth="0" w:num="1">
            <w:col w:w="11240"/>
          </w:cols>
          <w:pgMar w:left="320" w:top="1143" w:right="339" w:bottom="1440" w:gutter="0" w:footer="0" w:header="0"/>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ind w:left="20"/>
              <w:spacing w:after="0"/>
              <w:rPr>
                <w:sz w:val="20"/>
                <w:szCs w:val="20"/>
                <w:color w:val="auto"/>
              </w:rPr>
            </w:pPr>
            <w:r>
              <w:rPr>
                <w:rFonts w:ascii="Arial" w:cs="Arial" w:eastAsia="Arial" w:hAnsi="Arial"/>
                <w:sz w:val="14"/>
                <w:szCs w:val="14"/>
                <w:color w:val="auto"/>
              </w:rPr>
              <w:t>Alaska</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327</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135</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130</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138</w:t>
            </w:r>
          </w:p>
        </w:tc>
        <w:tc>
          <w:tcPr>
            <w:tcW w:w="640" w:type="dxa"/>
            <w:vAlign w:val="bottom"/>
          </w:tcPr>
          <w:p>
            <w:pPr>
              <w:jc w:val="right"/>
              <w:spacing w:after="0"/>
              <w:rPr>
                <w:sz w:val="20"/>
                <w:szCs w:val="20"/>
                <w:color w:val="auto"/>
              </w:rPr>
            </w:pPr>
            <w:r>
              <w:rPr>
                <w:rFonts w:ascii="Arial" w:cs="Arial" w:eastAsia="Arial" w:hAnsi="Arial"/>
                <w:sz w:val="14"/>
                <w:szCs w:val="14"/>
                <w:color w:val="auto"/>
              </w:rPr>
              <w:t>730</w:t>
            </w:r>
          </w:p>
        </w:tc>
      </w:tr>
      <w:tr>
        <w:trPr>
          <w:trHeight w:val="351"/>
        </w:trPr>
        <w:tc>
          <w:tcPr>
            <w:tcW w:w="3880" w:type="dxa"/>
            <w:vAlign w:val="bottom"/>
          </w:tcPr>
          <w:p>
            <w:pPr>
              <w:ind w:left="20"/>
              <w:spacing w:after="0"/>
              <w:rPr>
                <w:sz w:val="20"/>
                <w:szCs w:val="20"/>
                <w:color w:val="auto"/>
              </w:rPr>
            </w:pPr>
            <w:r>
              <w:rPr>
                <w:rFonts w:ascii="Arial" w:cs="Arial" w:eastAsia="Arial" w:hAnsi="Arial"/>
                <w:sz w:val="14"/>
                <w:szCs w:val="14"/>
                <w:color w:val="auto"/>
              </w:rPr>
              <w:t>Lower 48</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1,790</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1,399</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1,240</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835</w:t>
            </w:r>
          </w:p>
        </w:tc>
        <w:tc>
          <w:tcPr>
            <w:tcW w:w="640" w:type="dxa"/>
            <w:vAlign w:val="bottom"/>
          </w:tcPr>
          <w:p>
            <w:pPr>
              <w:jc w:val="right"/>
              <w:spacing w:after="0"/>
              <w:rPr>
                <w:sz w:val="20"/>
                <w:szCs w:val="20"/>
                <w:color w:val="auto"/>
              </w:rPr>
            </w:pPr>
            <w:r>
              <w:rPr>
                <w:rFonts w:ascii="Arial" w:cs="Arial" w:eastAsia="Arial" w:hAnsi="Arial"/>
                <w:sz w:val="14"/>
                <w:szCs w:val="14"/>
                <w:color w:val="auto"/>
              </w:rPr>
              <w:t>5,264</w:t>
            </w:r>
          </w:p>
        </w:tc>
      </w:tr>
      <w:tr>
        <w:trPr>
          <w:trHeight w:val="351"/>
        </w:trPr>
        <w:tc>
          <w:tcPr>
            <w:tcW w:w="3880" w:type="dxa"/>
            <w:vAlign w:val="bottom"/>
          </w:tcPr>
          <w:p>
            <w:pPr>
              <w:ind w:left="20"/>
              <w:spacing w:after="0"/>
              <w:rPr>
                <w:sz w:val="20"/>
                <w:szCs w:val="20"/>
                <w:color w:val="auto"/>
              </w:rPr>
            </w:pPr>
            <w:r>
              <w:rPr>
                <w:rFonts w:ascii="Arial" w:cs="Arial" w:eastAsia="Arial" w:hAnsi="Arial"/>
                <w:sz w:val="14"/>
                <w:szCs w:val="14"/>
                <w:color w:val="auto"/>
              </w:rPr>
              <w:t>Canada</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256</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149</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188</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148</w:t>
            </w:r>
          </w:p>
        </w:tc>
        <w:tc>
          <w:tcPr>
            <w:tcW w:w="640" w:type="dxa"/>
            <w:vAlign w:val="bottom"/>
          </w:tcPr>
          <w:p>
            <w:pPr>
              <w:jc w:val="right"/>
              <w:spacing w:after="0"/>
              <w:rPr>
                <w:sz w:val="20"/>
                <w:szCs w:val="20"/>
                <w:color w:val="auto"/>
              </w:rPr>
            </w:pPr>
            <w:r>
              <w:rPr>
                <w:rFonts w:ascii="Arial" w:cs="Arial" w:eastAsia="Arial" w:hAnsi="Arial"/>
                <w:sz w:val="14"/>
                <w:szCs w:val="14"/>
                <w:color w:val="auto"/>
              </w:rPr>
              <w:t>741</w:t>
            </w:r>
          </w:p>
        </w:tc>
      </w:tr>
      <w:tr>
        <w:trPr>
          <w:trHeight w:val="351"/>
        </w:trPr>
        <w:tc>
          <w:tcPr>
            <w:tcW w:w="3880" w:type="dxa"/>
            <w:vAlign w:val="bottom"/>
          </w:tcPr>
          <w:p>
            <w:pPr>
              <w:ind w:left="20"/>
              <w:spacing w:after="0"/>
              <w:rPr>
                <w:sz w:val="20"/>
                <w:szCs w:val="20"/>
                <w:color w:val="auto"/>
              </w:rPr>
            </w:pPr>
            <w:r>
              <w:rPr>
                <w:rFonts w:ascii="Arial" w:cs="Arial" w:eastAsia="Arial" w:hAnsi="Arial"/>
                <w:sz w:val="14"/>
                <w:szCs w:val="14"/>
                <w:color w:val="auto"/>
              </w:rPr>
              <w:t>Europe, Middle East and North Africa</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419</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237</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327</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241</w:t>
            </w:r>
          </w:p>
        </w:tc>
        <w:tc>
          <w:tcPr>
            <w:tcW w:w="640" w:type="dxa"/>
            <w:vAlign w:val="bottom"/>
          </w:tcPr>
          <w:p>
            <w:pPr>
              <w:jc w:val="right"/>
              <w:spacing w:after="0"/>
              <w:rPr>
                <w:sz w:val="20"/>
                <w:szCs w:val="20"/>
                <w:color w:val="auto"/>
              </w:rPr>
            </w:pPr>
            <w:r>
              <w:rPr>
                <w:rFonts w:ascii="Arial" w:cs="Arial" w:eastAsia="Arial" w:hAnsi="Arial"/>
                <w:sz w:val="14"/>
                <w:szCs w:val="14"/>
                <w:color w:val="auto"/>
              </w:rPr>
              <w:t>1,224</w:t>
            </w:r>
          </w:p>
        </w:tc>
      </w:tr>
      <w:tr>
        <w:trPr>
          <w:trHeight w:val="351"/>
        </w:trPr>
        <w:tc>
          <w:tcPr>
            <w:tcW w:w="38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311</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330</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309</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217</w:t>
            </w:r>
          </w:p>
        </w:tc>
        <w:tc>
          <w:tcPr>
            <w:tcW w:w="640" w:type="dxa"/>
            <w:vAlign w:val="bottom"/>
          </w:tcPr>
          <w:p>
            <w:pPr>
              <w:jc w:val="right"/>
              <w:spacing w:after="0"/>
              <w:rPr>
                <w:sz w:val="20"/>
                <w:szCs w:val="20"/>
                <w:color w:val="auto"/>
              </w:rPr>
            </w:pPr>
            <w:r>
              <w:rPr>
                <w:rFonts w:ascii="Arial" w:cs="Arial" w:eastAsia="Arial" w:hAnsi="Arial"/>
                <w:sz w:val="14"/>
                <w:szCs w:val="14"/>
                <w:color w:val="auto"/>
              </w:rPr>
              <w:t>1,167</w:t>
            </w:r>
          </w:p>
        </w:tc>
      </w:tr>
      <w:tr>
        <w:trPr>
          <w:trHeight w:val="351"/>
        </w:trPr>
        <w:tc>
          <w:tcPr>
            <w:tcW w:w="388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(254)</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(279)</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(468)</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(137)</w:t>
            </w:r>
          </w:p>
        </w:tc>
        <w:tc>
          <w:tcPr>
            <w:tcW w:w="640" w:type="dxa"/>
            <w:vAlign w:val="bottom"/>
          </w:tcPr>
          <w:p>
            <w:pPr>
              <w:jc w:val="right"/>
              <w:spacing w:after="0"/>
              <w:rPr>
                <w:sz w:val="20"/>
                <w:szCs w:val="20"/>
                <w:color w:val="auto"/>
              </w:rPr>
            </w:pPr>
            <w:r>
              <w:rPr>
                <w:rFonts w:ascii="Arial" w:cs="Arial" w:eastAsia="Arial" w:hAnsi="Arial"/>
                <w:sz w:val="14"/>
                <w:szCs w:val="14"/>
                <w:color w:val="auto"/>
              </w:rPr>
              <w:t>(1,138)</w:t>
            </w:r>
          </w:p>
        </w:tc>
      </w:tr>
      <w:tr>
        <w:trPr>
          <w:trHeight w:val="157"/>
        </w:trPr>
        <w:tc>
          <w:tcPr>
            <w:tcW w:w="38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9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w:t>
            </w: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2,849</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1,971</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1,726</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1,442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7,988</w:t>
            </w:r>
          </w:p>
        </w:tc>
      </w:tr>
      <w:tr>
        <w:trPr>
          <w:trHeight w:val="22"/>
        </w:trPr>
        <w:tc>
          <w:tcPr>
            <w:tcW w:w="3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599"/>
        </w:trPr>
        <w:tc>
          <w:tcPr>
            <w:tcW w:w="3880" w:type="dxa"/>
            <w:vAlign w:val="bottom"/>
          </w:tcPr>
          <w:p>
            <w:pPr>
              <w:ind w:left="20"/>
              <w:spacing w:after="0"/>
              <w:rPr>
                <w:sz w:val="20"/>
                <w:szCs w:val="20"/>
                <w:color w:val="auto"/>
              </w:rPr>
            </w:pPr>
            <w:r>
              <w:rPr>
                <w:rFonts w:ascii="Arial" w:cs="Arial" w:eastAsia="Arial" w:hAnsi="Arial"/>
                <w:sz w:val="14"/>
                <w:szCs w:val="14"/>
                <w:b w:val="1"/>
                <w:bCs w:val="1"/>
                <w:color w:val="0000FF"/>
              </w:rPr>
              <w:t>SPECIAL ITEMS</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5"/>
        </w:trPr>
        <w:tc>
          <w:tcPr>
            <w:tcW w:w="3880" w:type="dxa"/>
            <w:vAlign w:val="bottom"/>
          </w:tcPr>
          <w:p>
            <w:pPr>
              <w:ind w:left="20"/>
              <w:spacing w:after="0"/>
              <w:rPr>
                <w:sz w:val="20"/>
                <w:szCs w:val="20"/>
                <w:color w:val="auto"/>
              </w:rPr>
            </w:pPr>
            <w:r>
              <w:rPr>
                <w:rFonts w:ascii="Arial" w:cs="Arial" w:eastAsia="Arial" w:hAnsi="Arial"/>
                <w:sz w:val="14"/>
                <w:szCs w:val="14"/>
                <w:color w:val="auto"/>
              </w:rPr>
              <w:t>Alaska</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58</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(26)</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6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51"/>
        </w:trPr>
        <w:tc>
          <w:tcPr>
            <w:tcW w:w="3880" w:type="dxa"/>
            <w:vAlign w:val="bottom"/>
          </w:tcPr>
          <w:p>
            <w:pPr>
              <w:ind w:left="20"/>
              <w:spacing w:after="0"/>
              <w:rPr>
                <w:sz w:val="20"/>
                <w:szCs w:val="20"/>
                <w:color w:val="auto"/>
              </w:rPr>
            </w:pPr>
            <w:r>
              <w:rPr>
                <w:rFonts w:ascii="Arial" w:cs="Arial" w:eastAsia="Arial" w:hAnsi="Arial"/>
                <w:sz w:val="14"/>
                <w:szCs w:val="14"/>
                <w:color w:val="auto"/>
              </w:rPr>
              <w:t>Lower 48</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93</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207</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(74)</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187</w:t>
            </w:r>
          </w:p>
        </w:tc>
        <w:tc>
          <w:tcPr>
            <w:tcW w:w="640" w:type="dxa"/>
            <w:vAlign w:val="bottom"/>
          </w:tcPr>
          <w:p>
            <w:pPr>
              <w:jc w:val="right"/>
              <w:spacing w:after="0"/>
              <w:rPr>
                <w:sz w:val="20"/>
                <w:szCs w:val="20"/>
                <w:color w:val="auto"/>
              </w:rPr>
            </w:pPr>
            <w:r>
              <w:rPr>
                <w:rFonts w:ascii="Arial" w:cs="Arial" w:eastAsia="Arial" w:hAnsi="Arial"/>
                <w:sz w:val="14"/>
                <w:szCs w:val="14"/>
                <w:color w:val="auto"/>
              </w:rPr>
              <w:t>413</w:t>
            </w:r>
          </w:p>
        </w:tc>
      </w:tr>
      <w:tr>
        <w:trPr>
          <w:trHeight w:val="351"/>
        </w:trPr>
        <w:tc>
          <w:tcPr>
            <w:tcW w:w="3880" w:type="dxa"/>
            <w:vAlign w:val="bottom"/>
          </w:tcPr>
          <w:p>
            <w:pPr>
              <w:ind w:left="20"/>
              <w:spacing w:after="0"/>
              <w:rPr>
                <w:sz w:val="20"/>
                <w:szCs w:val="20"/>
                <w:color w:val="auto"/>
              </w:rPr>
            </w:pPr>
            <w:r>
              <w:rPr>
                <w:rFonts w:ascii="Arial" w:cs="Arial" w:eastAsia="Arial" w:hAnsi="Arial"/>
                <w:sz w:val="14"/>
                <w:szCs w:val="14"/>
                <w:color w:val="auto"/>
              </w:rPr>
              <w:t>Canada</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45</w:t>
            </w:r>
          </w:p>
        </w:tc>
        <w:tc>
          <w:tcPr>
            <w:tcW w:w="6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351"/>
        </w:trPr>
        <w:tc>
          <w:tcPr>
            <w:tcW w:w="3880" w:type="dxa"/>
            <w:vAlign w:val="bottom"/>
          </w:tcPr>
          <w:p>
            <w:pPr>
              <w:ind w:left="20"/>
              <w:spacing w:after="0"/>
              <w:rPr>
                <w:sz w:val="20"/>
                <w:szCs w:val="20"/>
                <w:color w:val="auto"/>
              </w:rPr>
            </w:pPr>
            <w:r>
              <w:rPr>
                <w:rFonts w:ascii="Arial" w:cs="Arial" w:eastAsia="Arial" w:hAnsi="Arial"/>
                <w:sz w:val="14"/>
                <w:szCs w:val="14"/>
                <w:color w:val="auto"/>
              </w:rPr>
              <w:t>Europe, Middle East and North Africa</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351"/>
        </w:trPr>
        <w:tc>
          <w:tcPr>
            <w:tcW w:w="38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51"/>
        </w:trPr>
        <w:tc>
          <w:tcPr>
            <w:tcW w:w="388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19</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(29)</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(162)</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64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157"/>
        </w:trPr>
        <w:tc>
          <w:tcPr>
            <w:tcW w:w="38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9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w:t>
            </w: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170</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178</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(281)</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r>
      <w:tr>
        <w:trPr>
          <w:trHeight w:val="22"/>
        </w:trPr>
        <w:tc>
          <w:tcPr>
            <w:tcW w:w="3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8"/>
        </w:trPr>
        <w:tc>
          <w:tcPr>
            <w:tcW w:w="3880" w:type="dxa"/>
            <w:vAlign w:val="bottom"/>
          </w:tcPr>
          <w:p>
            <w:pPr>
              <w:ind w:left="20"/>
              <w:spacing w:after="0"/>
              <w:rPr>
                <w:sz w:val="20"/>
                <w:szCs w:val="20"/>
                <w:color w:val="auto"/>
              </w:rPr>
            </w:pPr>
            <w:r>
              <w:rPr>
                <w:rFonts w:ascii="Arial" w:cs="Arial" w:eastAsia="Arial" w:hAnsi="Arial"/>
                <w:sz w:val="14"/>
                <w:szCs w:val="14"/>
                <w:i w:val="1"/>
                <w:iCs w:val="1"/>
                <w:color w:val="auto"/>
              </w:rPr>
              <w:t>Detailed reconciliation of these items is provided on page 5.</w:t>
            </w: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00FF"/>
        </w:rPr>
        <w:t>ADJUSTED EARNINGS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jc w:val="right"/>
              <w:ind w:right="1288"/>
              <w:spacing w:after="0"/>
              <w:rPr>
                <w:sz w:val="20"/>
                <w:szCs w:val="20"/>
                <w:color w:val="auto"/>
              </w:rPr>
            </w:pPr>
            <w:r>
              <w:rPr>
                <w:rFonts w:ascii="Arial" w:cs="Arial" w:eastAsia="Arial" w:hAnsi="Arial"/>
                <w:sz w:val="14"/>
                <w:szCs w:val="14"/>
                <w:color w:val="auto"/>
              </w:rPr>
              <w:t>294</w:t>
            </w:r>
          </w:p>
        </w:tc>
        <w:tc>
          <w:tcPr>
            <w:tcW w:w="1740" w:type="dxa"/>
            <w:vAlign w:val="bottom"/>
          </w:tcPr>
          <w:p>
            <w:pPr>
              <w:jc w:val="right"/>
              <w:spacing w:after="0"/>
              <w:rPr>
                <w:sz w:val="20"/>
                <w:szCs w:val="20"/>
                <w:color w:val="auto"/>
              </w:rPr>
            </w:pPr>
            <w:r>
              <w:rPr>
                <w:rFonts w:ascii="Arial" w:cs="Arial" w:eastAsia="Arial" w:hAnsi="Arial"/>
                <w:sz w:val="14"/>
                <w:szCs w:val="14"/>
                <w:color w:val="auto"/>
              </w:rPr>
              <w:t>294</w:t>
            </w:r>
          </w:p>
        </w:tc>
      </w:tr>
      <w:tr>
        <w:trPr>
          <w:trHeight w:val="351"/>
        </w:trPr>
        <w:tc>
          <w:tcPr>
            <w:tcW w:w="2040" w:type="dxa"/>
            <w:vAlign w:val="bottom"/>
          </w:tcPr>
          <w:p>
            <w:pPr>
              <w:jc w:val="right"/>
              <w:ind w:right="1288"/>
              <w:spacing w:after="0"/>
              <w:rPr>
                <w:sz w:val="20"/>
                <w:szCs w:val="20"/>
                <w:color w:val="auto"/>
              </w:rPr>
            </w:pPr>
            <w:r>
              <w:rPr>
                <w:rFonts w:ascii="Arial" w:cs="Arial" w:eastAsia="Arial" w:hAnsi="Arial"/>
                <w:sz w:val="14"/>
                <w:szCs w:val="14"/>
                <w:color w:val="auto"/>
              </w:rPr>
              <w:t>1,403</w:t>
            </w:r>
          </w:p>
        </w:tc>
        <w:tc>
          <w:tcPr>
            <w:tcW w:w="1740" w:type="dxa"/>
            <w:vAlign w:val="bottom"/>
          </w:tcPr>
          <w:p>
            <w:pPr>
              <w:jc w:val="right"/>
              <w:spacing w:after="0"/>
              <w:rPr>
                <w:sz w:val="20"/>
                <w:szCs w:val="20"/>
                <w:color w:val="auto"/>
              </w:rPr>
            </w:pPr>
            <w:r>
              <w:rPr>
                <w:rFonts w:ascii="Arial" w:cs="Arial" w:eastAsia="Arial" w:hAnsi="Arial"/>
                <w:sz w:val="14"/>
                <w:szCs w:val="14"/>
                <w:color w:val="auto"/>
              </w:rPr>
              <w:t>1,403</w:t>
            </w:r>
          </w:p>
        </w:tc>
      </w:tr>
      <w:tr>
        <w:trPr>
          <w:trHeight w:val="351"/>
        </w:trPr>
        <w:tc>
          <w:tcPr>
            <w:tcW w:w="2040" w:type="dxa"/>
            <w:vAlign w:val="bottom"/>
          </w:tcPr>
          <w:p>
            <w:pPr>
              <w:jc w:val="right"/>
              <w:ind w:right="1288"/>
              <w:spacing w:after="0"/>
              <w:rPr>
                <w:sz w:val="20"/>
                <w:szCs w:val="20"/>
                <w:color w:val="auto"/>
              </w:rPr>
            </w:pPr>
            <w:r>
              <w:rPr>
                <w:rFonts w:ascii="Arial" w:cs="Arial" w:eastAsia="Arial" w:hAnsi="Arial"/>
                <w:sz w:val="14"/>
                <w:szCs w:val="14"/>
                <w:color w:val="auto"/>
              </w:rPr>
              <w:t>85</w:t>
            </w:r>
          </w:p>
        </w:tc>
        <w:tc>
          <w:tcPr>
            <w:tcW w:w="174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351"/>
        </w:trPr>
        <w:tc>
          <w:tcPr>
            <w:tcW w:w="2040" w:type="dxa"/>
            <w:vAlign w:val="bottom"/>
          </w:tcPr>
          <w:p>
            <w:pPr>
              <w:jc w:val="right"/>
              <w:ind w:right="1288"/>
              <w:spacing w:after="0"/>
              <w:rPr>
                <w:sz w:val="20"/>
                <w:szCs w:val="20"/>
                <w:color w:val="auto"/>
              </w:rPr>
            </w:pPr>
            <w:r>
              <w:rPr>
                <w:rFonts w:ascii="Arial" w:cs="Arial" w:eastAsia="Arial" w:hAnsi="Arial"/>
                <w:sz w:val="14"/>
                <w:szCs w:val="14"/>
                <w:color w:val="auto"/>
              </w:rPr>
              <w:t>265</w:t>
            </w:r>
          </w:p>
        </w:tc>
        <w:tc>
          <w:tcPr>
            <w:tcW w:w="174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351"/>
        </w:trPr>
        <w:tc>
          <w:tcPr>
            <w:tcW w:w="2040" w:type="dxa"/>
            <w:vAlign w:val="bottom"/>
          </w:tcPr>
          <w:p>
            <w:pPr>
              <w:jc w:val="right"/>
              <w:ind w:right="1288"/>
              <w:spacing w:after="0"/>
              <w:rPr>
                <w:sz w:val="20"/>
                <w:szCs w:val="20"/>
                <w:color w:val="auto"/>
              </w:rPr>
            </w:pPr>
            <w:r>
              <w:rPr>
                <w:rFonts w:ascii="Arial" w:cs="Arial" w:eastAsia="Arial" w:hAnsi="Arial"/>
                <w:sz w:val="14"/>
                <w:szCs w:val="14"/>
                <w:color w:val="auto"/>
              </w:rPr>
              <w:t>295</w:t>
            </w:r>
          </w:p>
        </w:tc>
        <w:tc>
          <w:tcPr>
            <w:tcW w:w="174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351"/>
        </w:trPr>
        <w:tc>
          <w:tcPr>
            <w:tcW w:w="2040" w:type="dxa"/>
            <w:vAlign w:val="bottom"/>
          </w:tcPr>
          <w:p>
            <w:pPr>
              <w:jc w:val="right"/>
              <w:ind w:right="1248"/>
              <w:spacing w:after="0"/>
              <w:rPr>
                <w:sz w:val="20"/>
                <w:szCs w:val="20"/>
                <w:color w:val="auto"/>
              </w:rPr>
            </w:pPr>
            <w:r>
              <w:rPr>
                <w:rFonts w:ascii="Arial" w:cs="Arial" w:eastAsia="Arial" w:hAnsi="Arial"/>
                <w:sz w:val="14"/>
                <w:szCs w:val="14"/>
                <w:color w:val="auto"/>
              </w:rPr>
              <w:t>(159)</w:t>
            </w:r>
          </w:p>
        </w:tc>
        <w:tc>
          <w:tcPr>
            <w:tcW w:w="174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157"/>
        </w:trPr>
        <w:tc>
          <w:tcPr>
            <w:tcW w:w="20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r>
      <w:tr>
        <w:trPr>
          <w:trHeight w:val="192"/>
        </w:trPr>
        <w:tc>
          <w:tcPr>
            <w:tcW w:w="204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2,183</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2,183</w:t>
            </w:r>
          </w:p>
        </w:tc>
      </w:tr>
      <w:tr>
        <w:trPr>
          <w:trHeight w:val="24"/>
        </w:trPr>
        <w:tc>
          <w:tcPr>
            <w:tcW w:w="2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jc w:val="right"/>
              <w:ind w:right="132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2080" w:type="dxa"/>
            <w:vAlign w:val="bottom"/>
          </w:tcPr>
          <w:p>
            <w:pPr>
              <w:jc w:val="right"/>
              <w:ind w:right="132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2080" w:type="dxa"/>
            <w:vAlign w:val="bottom"/>
          </w:tcPr>
          <w:p>
            <w:pPr>
              <w:jc w:val="right"/>
              <w:ind w:right="1288"/>
              <w:spacing w:after="0"/>
              <w:rPr>
                <w:sz w:val="20"/>
                <w:szCs w:val="20"/>
                <w:color w:val="auto"/>
              </w:rPr>
            </w:pPr>
            <w:r>
              <w:rPr>
                <w:rFonts w:ascii="Arial" w:cs="Arial" w:eastAsia="Arial" w:hAnsi="Arial"/>
                <w:sz w:val="14"/>
                <w:szCs w:val="14"/>
                <w:color w:val="auto"/>
              </w:rPr>
              <w:t>(122)</w:t>
            </w:r>
          </w:p>
        </w:tc>
        <w:tc>
          <w:tcPr>
            <w:tcW w:w="170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351"/>
        </w:trPr>
        <w:tc>
          <w:tcPr>
            <w:tcW w:w="2080" w:type="dxa"/>
            <w:vAlign w:val="bottom"/>
          </w:tcPr>
          <w:p>
            <w:pPr>
              <w:jc w:val="right"/>
              <w:ind w:right="132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2080" w:type="dxa"/>
            <w:vAlign w:val="bottom"/>
          </w:tcPr>
          <w:p>
            <w:pPr>
              <w:jc w:val="right"/>
              <w:ind w:right="132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2080" w:type="dxa"/>
            <w:vAlign w:val="bottom"/>
          </w:tcPr>
          <w:p>
            <w:pPr>
              <w:jc w:val="right"/>
              <w:ind w:right="1288"/>
              <w:spacing w:after="0"/>
              <w:rPr>
                <w:sz w:val="20"/>
                <w:szCs w:val="20"/>
                <w:color w:val="auto"/>
              </w:rPr>
            </w:pPr>
            <w:r>
              <w:rPr>
                <w:rFonts w:ascii="Arial" w:cs="Arial" w:eastAsia="Arial" w:hAnsi="Arial"/>
                <w:sz w:val="14"/>
                <w:szCs w:val="14"/>
                <w:color w:val="auto"/>
              </w:rPr>
              <w:t>(19)</w:t>
            </w:r>
          </w:p>
        </w:tc>
        <w:tc>
          <w:tcPr>
            <w:tcW w:w="17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57"/>
        </w:trPr>
        <w:tc>
          <w:tcPr>
            <w:tcW w:w="20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r>
      <w:tr>
        <w:trPr>
          <w:trHeight w:val="192"/>
        </w:trPr>
        <w:tc>
          <w:tcPr>
            <w:tcW w:w="208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(141)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r>
      <w:tr>
        <w:trPr>
          <w:trHeight w:val="25"/>
        </w:trPr>
        <w:tc>
          <w:tcPr>
            <w:tcW w:w="20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989"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3160" w:type="dxa"/>
            <w:vAlign w:val="bottom"/>
          </w:tcPr>
          <w:p>
            <w:pPr>
              <w:ind w:left="20"/>
              <w:spacing w:after="0"/>
              <w:rPr>
                <w:sz w:val="20"/>
                <w:szCs w:val="20"/>
                <w:color w:val="auto"/>
              </w:rPr>
            </w:pPr>
            <w:r>
              <w:rPr>
                <w:rFonts w:ascii="Arial" w:cs="Arial" w:eastAsia="Arial" w:hAnsi="Arial"/>
                <w:sz w:val="14"/>
                <w:szCs w:val="14"/>
                <w:color w:val="auto"/>
              </w:rPr>
              <w:t>Alaska</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269</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135</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156</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149</w:t>
            </w:r>
          </w:p>
        </w:tc>
        <w:tc>
          <w:tcPr>
            <w:tcW w:w="600" w:type="dxa"/>
            <w:vAlign w:val="bottom"/>
          </w:tcPr>
          <w:p>
            <w:pPr>
              <w:jc w:val="right"/>
              <w:spacing w:after="0"/>
              <w:rPr>
                <w:sz w:val="20"/>
                <w:szCs w:val="20"/>
                <w:color w:val="auto"/>
              </w:rPr>
            </w:pPr>
            <w:r>
              <w:rPr>
                <w:rFonts w:ascii="Arial" w:cs="Arial" w:eastAsia="Arial" w:hAnsi="Arial"/>
                <w:sz w:val="14"/>
                <w:szCs w:val="14"/>
                <w:color w:val="auto"/>
              </w:rPr>
              <w:t>709</w:t>
            </w:r>
          </w:p>
        </w:tc>
        <w:tc>
          <w:tcPr>
            <w:tcW w:w="80" w:type="dxa"/>
            <w:vAlign w:val="bottom"/>
          </w:tcPr>
          <w:p>
            <w:pPr>
              <w:spacing w:after="0"/>
              <w:rPr>
                <w:sz w:val="16"/>
                <w:szCs w:val="16"/>
                <w:color w:val="auto"/>
              </w:rPr>
            </w:pPr>
          </w:p>
        </w:tc>
        <w:tc>
          <w:tcPr>
            <w:tcW w:w="2040" w:type="dxa"/>
            <w:vAlign w:val="bottom"/>
          </w:tcPr>
          <w:p>
            <w:pPr>
              <w:jc w:val="right"/>
              <w:ind w:right="1288"/>
              <w:spacing w:after="0"/>
              <w:rPr>
                <w:sz w:val="20"/>
                <w:szCs w:val="20"/>
                <w:color w:val="auto"/>
              </w:rPr>
            </w:pPr>
            <w:r>
              <w:rPr>
                <w:rFonts w:ascii="Arial" w:cs="Arial" w:eastAsia="Arial" w:hAnsi="Arial"/>
                <w:sz w:val="14"/>
                <w:szCs w:val="14"/>
                <w:color w:val="auto"/>
              </w:rPr>
              <w:t>294</w:t>
            </w:r>
          </w:p>
        </w:tc>
        <w:tc>
          <w:tcPr>
            <w:tcW w:w="1740" w:type="dxa"/>
            <w:vAlign w:val="bottom"/>
          </w:tcPr>
          <w:p>
            <w:pPr>
              <w:jc w:val="right"/>
              <w:spacing w:after="0"/>
              <w:rPr>
                <w:sz w:val="20"/>
                <w:szCs w:val="20"/>
                <w:color w:val="auto"/>
              </w:rPr>
            </w:pPr>
            <w:r>
              <w:rPr>
                <w:rFonts w:ascii="Arial" w:cs="Arial" w:eastAsia="Arial" w:hAnsi="Arial"/>
                <w:sz w:val="14"/>
                <w:szCs w:val="14"/>
                <w:color w:val="auto"/>
              </w:rPr>
              <w:t>294</w:t>
            </w:r>
          </w:p>
        </w:tc>
      </w:tr>
      <w:tr>
        <w:trPr>
          <w:trHeight w:val="351"/>
        </w:trPr>
        <w:tc>
          <w:tcPr>
            <w:tcW w:w="3160" w:type="dxa"/>
            <w:vAlign w:val="bottom"/>
          </w:tcPr>
          <w:p>
            <w:pPr>
              <w:ind w:left="20"/>
              <w:spacing w:after="0"/>
              <w:rPr>
                <w:sz w:val="20"/>
                <w:szCs w:val="20"/>
                <w:color w:val="auto"/>
              </w:rPr>
            </w:pPr>
            <w:r>
              <w:rPr>
                <w:rFonts w:ascii="Arial" w:cs="Arial" w:eastAsia="Arial" w:hAnsi="Arial"/>
                <w:sz w:val="14"/>
                <w:szCs w:val="14"/>
                <w:color w:val="auto"/>
              </w:rPr>
              <w:t>Lower 48</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1,697</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1,192</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1,314</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648</w:t>
            </w:r>
          </w:p>
        </w:tc>
        <w:tc>
          <w:tcPr>
            <w:tcW w:w="600" w:type="dxa"/>
            <w:vAlign w:val="bottom"/>
          </w:tcPr>
          <w:p>
            <w:pPr>
              <w:jc w:val="right"/>
              <w:spacing w:after="0"/>
              <w:rPr>
                <w:sz w:val="20"/>
                <w:szCs w:val="20"/>
                <w:color w:val="auto"/>
              </w:rPr>
            </w:pPr>
            <w:r>
              <w:rPr>
                <w:rFonts w:ascii="Arial" w:cs="Arial" w:eastAsia="Arial" w:hAnsi="Arial"/>
                <w:sz w:val="14"/>
                <w:szCs w:val="14"/>
                <w:color w:val="auto"/>
              </w:rPr>
              <w:t>4,851</w:t>
            </w:r>
          </w:p>
        </w:tc>
        <w:tc>
          <w:tcPr>
            <w:tcW w:w="80" w:type="dxa"/>
            <w:vAlign w:val="bottom"/>
          </w:tcPr>
          <w:p>
            <w:pPr>
              <w:spacing w:after="0"/>
              <w:rPr>
                <w:sz w:val="24"/>
                <w:szCs w:val="24"/>
                <w:color w:val="auto"/>
              </w:rPr>
            </w:pPr>
          </w:p>
        </w:tc>
        <w:tc>
          <w:tcPr>
            <w:tcW w:w="2040" w:type="dxa"/>
            <w:vAlign w:val="bottom"/>
          </w:tcPr>
          <w:p>
            <w:pPr>
              <w:jc w:val="right"/>
              <w:ind w:right="1288"/>
              <w:spacing w:after="0"/>
              <w:rPr>
                <w:sz w:val="20"/>
                <w:szCs w:val="20"/>
                <w:color w:val="auto"/>
              </w:rPr>
            </w:pPr>
            <w:r>
              <w:rPr>
                <w:rFonts w:ascii="Arial" w:cs="Arial" w:eastAsia="Arial" w:hAnsi="Arial"/>
                <w:sz w:val="14"/>
                <w:szCs w:val="14"/>
                <w:color w:val="auto"/>
              </w:rPr>
              <w:t>1,403</w:t>
            </w:r>
          </w:p>
        </w:tc>
        <w:tc>
          <w:tcPr>
            <w:tcW w:w="1740" w:type="dxa"/>
            <w:vAlign w:val="bottom"/>
          </w:tcPr>
          <w:p>
            <w:pPr>
              <w:jc w:val="right"/>
              <w:spacing w:after="0"/>
              <w:rPr>
                <w:sz w:val="20"/>
                <w:szCs w:val="20"/>
                <w:color w:val="auto"/>
              </w:rPr>
            </w:pPr>
            <w:r>
              <w:rPr>
                <w:rFonts w:ascii="Arial" w:cs="Arial" w:eastAsia="Arial" w:hAnsi="Arial"/>
                <w:sz w:val="14"/>
                <w:szCs w:val="14"/>
                <w:color w:val="auto"/>
              </w:rPr>
              <w:t>1,403</w:t>
            </w:r>
          </w:p>
        </w:tc>
      </w:tr>
      <w:tr>
        <w:trPr>
          <w:trHeight w:val="351"/>
        </w:trPr>
        <w:tc>
          <w:tcPr>
            <w:tcW w:w="3160" w:type="dxa"/>
            <w:vAlign w:val="bottom"/>
          </w:tcPr>
          <w:p>
            <w:pPr>
              <w:ind w:left="20"/>
              <w:spacing w:after="0"/>
              <w:rPr>
                <w:sz w:val="20"/>
                <w:szCs w:val="20"/>
                <w:color w:val="auto"/>
              </w:rPr>
            </w:pPr>
            <w:r>
              <w:rPr>
                <w:rFonts w:ascii="Arial" w:cs="Arial" w:eastAsia="Arial" w:hAnsi="Arial"/>
                <w:sz w:val="14"/>
                <w:szCs w:val="14"/>
                <w:color w:val="auto"/>
              </w:rPr>
              <w:t>Canada</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256</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149</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206</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103</w:t>
            </w:r>
          </w:p>
        </w:tc>
        <w:tc>
          <w:tcPr>
            <w:tcW w:w="600" w:type="dxa"/>
            <w:vAlign w:val="bottom"/>
          </w:tcPr>
          <w:p>
            <w:pPr>
              <w:jc w:val="right"/>
              <w:spacing w:after="0"/>
              <w:rPr>
                <w:sz w:val="20"/>
                <w:szCs w:val="20"/>
                <w:color w:val="auto"/>
              </w:rPr>
            </w:pPr>
            <w:r>
              <w:rPr>
                <w:rFonts w:ascii="Arial" w:cs="Arial" w:eastAsia="Arial" w:hAnsi="Arial"/>
                <w:sz w:val="14"/>
                <w:szCs w:val="14"/>
                <w:color w:val="auto"/>
              </w:rPr>
              <w:t>714</w:t>
            </w:r>
          </w:p>
        </w:tc>
        <w:tc>
          <w:tcPr>
            <w:tcW w:w="80" w:type="dxa"/>
            <w:vAlign w:val="bottom"/>
          </w:tcPr>
          <w:p>
            <w:pPr>
              <w:spacing w:after="0"/>
              <w:rPr>
                <w:sz w:val="24"/>
                <w:szCs w:val="24"/>
                <w:color w:val="auto"/>
              </w:rPr>
            </w:pPr>
          </w:p>
        </w:tc>
        <w:tc>
          <w:tcPr>
            <w:tcW w:w="2040" w:type="dxa"/>
            <w:vAlign w:val="bottom"/>
          </w:tcPr>
          <w:p>
            <w:pPr>
              <w:jc w:val="right"/>
              <w:ind w:right="1288"/>
              <w:spacing w:after="0"/>
              <w:rPr>
                <w:sz w:val="20"/>
                <w:szCs w:val="20"/>
                <w:color w:val="auto"/>
              </w:rPr>
            </w:pPr>
            <w:r>
              <w:rPr>
                <w:rFonts w:ascii="Arial" w:cs="Arial" w:eastAsia="Arial" w:hAnsi="Arial"/>
                <w:sz w:val="14"/>
                <w:szCs w:val="14"/>
                <w:color w:val="auto"/>
              </w:rPr>
              <w:t>207</w:t>
            </w:r>
          </w:p>
        </w:tc>
        <w:tc>
          <w:tcPr>
            <w:tcW w:w="1740" w:type="dxa"/>
            <w:vAlign w:val="bottom"/>
          </w:tcPr>
          <w:p>
            <w:pPr>
              <w:jc w:val="right"/>
              <w:spacing w:after="0"/>
              <w:rPr>
                <w:sz w:val="20"/>
                <w:szCs w:val="20"/>
                <w:color w:val="auto"/>
              </w:rPr>
            </w:pPr>
            <w:r>
              <w:rPr>
                <w:rFonts w:ascii="Arial" w:cs="Arial" w:eastAsia="Arial" w:hAnsi="Arial"/>
                <w:sz w:val="14"/>
                <w:szCs w:val="14"/>
                <w:color w:val="auto"/>
              </w:rPr>
              <w:t>207</w:t>
            </w:r>
          </w:p>
        </w:tc>
      </w:tr>
      <w:tr>
        <w:trPr>
          <w:trHeight w:val="351"/>
        </w:trPr>
        <w:tc>
          <w:tcPr>
            <w:tcW w:w="3160" w:type="dxa"/>
            <w:vAlign w:val="bottom"/>
          </w:tcPr>
          <w:p>
            <w:pPr>
              <w:ind w:left="20"/>
              <w:spacing w:after="0"/>
              <w:rPr>
                <w:sz w:val="20"/>
                <w:szCs w:val="20"/>
                <w:color w:val="auto"/>
              </w:rPr>
            </w:pPr>
            <w:r>
              <w:rPr>
                <w:rFonts w:ascii="Arial" w:cs="Arial" w:eastAsia="Arial" w:hAnsi="Arial"/>
                <w:sz w:val="14"/>
                <w:szCs w:val="14"/>
                <w:color w:val="auto"/>
              </w:rPr>
              <w:t>Europe, Middle East and North Africa</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419</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237</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328</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254</w:t>
            </w:r>
          </w:p>
        </w:tc>
        <w:tc>
          <w:tcPr>
            <w:tcW w:w="600" w:type="dxa"/>
            <w:vAlign w:val="bottom"/>
          </w:tcPr>
          <w:p>
            <w:pPr>
              <w:jc w:val="right"/>
              <w:spacing w:after="0"/>
              <w:rPr>
                <w:sz w:val="20"/>
                <w:szCs w:val="20"/>
                <w:color w:val="auto"/>
              </w:rPr>
            </w:pPr>
            <w:r>
              <w:rPr>
                <w:rFonts w:ascii="Arial" w:cs="Arial" w:eastAsia="Arial" w:hAnsi="Arial"/>
                <w:sz w:val="14"/>
                <w:szCs w:val="14"/>
                <w:color w:val="auto"/>
              </w:rPr>
              <w:t>1,238</w:t>
            </w:r>
          </w:p>
        </w:tc>
        <w:tc>
          <w:tcPr>
            <w:tcW w:w="80" w:type="dxa"/>
            <w:vAlign w:val="bottom"/>
          </w:tcPr>
          <w:p>
            <w:pPr>
              <w:spacing w:after="0"/>
              <w:rPr>
                <w:sz w:val="24"/>
                <w:szCs w:val="24"/>
                <w:color w:val="auto"/>
              </w:rPr>
            </w:pPr>
          </w:p>
        </w:tc>
        <w:tc>
          <w:tcPr>
            <w:tcW w:w="2040" w:type="dxa"/>
            <w:vAlign w:val="bottom"/>
          </w:tcPr>
          <w:p>
            <w:pPr>
              <w:jc w:val="right"/>
              <w:ind w:right="1288"/>
              <w:spacing w:after="0"/>
              <w:rPr>
                <w:sz w:val="20"/>
                <w:szCs w:val="20"/>
                <w:color w:val="auto"/>
              </w:rPr>
            </w:pPr>
            <w:r>
              <w:rPr>
                <w:rFonts w:ascii="Arial" w:cs="Arial" w:eastAsia="Arial" w:hAnsi="Arial"/>
                <w:sz w:val="14"/>
                <w:szCs w:val="14"/>
                <w:color w:val="auto"/>
              </w:rPr>
              <w:t>265</w:t>
            </w:r>
          </w:p>
        </w:tc>
        <w:tc>
          <w:tcPr>
            <w:tcW w:w="174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351"/>
        </w:trPr>
        <w:tc>
          <w:tcPr>
            <w:tcW w:w="316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311</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330</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309</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222</w:t>
            </w:r>
          </w:p>
        </w:tc>
        <w:tc>
          <w:tcPr>
            <w:tcW w:w="600" w:type="dxa"/>
            <w:vAlign w:val="bottom"/>
          </w:tcPr>
          <w:p>
            <w:pPr>
              <w:jc w:val="right"/>
              <w:spacing w:after="0"/>
              <w:rPr>
                <w:sz w:val="20"/>
                <w:szCs w:val="20"/>
                <w:color w:val="auto"/>
              </w:rPr>
            </w:pPr>
            <w:r>
              <w:rPr>
                <w:rFonts w:ascii="Arial" w:cs="Arial" w:eastAsia="Arial" w:hAnsi="Arial"/>
                <w:sz w:val="14"/>
                <w:szCs w:val="14"/>
                <w:color w:val="auto"/>
              </w:rPr>
              <w:t>1,172</w:t>
            </w:r>
          </w:p>
        </w:tc>
        <w:tc>
          <w:tcPr>
            <w:tcW w:w="80" w:type="dxa"/>
            <w:vAlign w:val="bottom"/>
          </w:tcPr>
          <w:p>
            <w:pPr>
              <w:spacing w:after="0"/>
              <w:rPr>
                <w:sz w:val="24"/>
                <w:szCs w:val="24"/>
                <w:color w:val="auto"/>
              </w:rPr>
            </w:pPr>
          </w:p>
        </w:tc>
        <w:tc>
          <w:tcPr>
            <w:tcW w:w="2040" w:type="dxa"/>
            <w:vAlign w:val="bottom"/>
          </w:tcPr>
          <w:p>
            <w:pPr>
              <w:jc w:val="right"/>
              <w:ind w:right="1288"/>
              <w:spacing w:after="0"/>
              <w:rPr>
                <w:sz w:val="20"/>
                <w:szCs w:val="20"/>
                <w:color w:val="auto"/>
              </w:rPr>
            </w:pPr>
            <w:r>
              <w:rPr>
                <w:rFonts w:ascii="Arial" w:cs="Arial" w:eastAsia="Arial" w:hAnsi="Arial"/>
                <w:sz w:val="14"/>
                <w:szCs w:val="14"/>
                <w:color w:val="auto"/>
              </w:rPr>
              <w:t>295</w:t>
            </w:r>
          </w:p>
        </w:tc>
        <w:tc>
          <w:tcPr>
            <w:tcW w:w="174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351"/>
        </w:trPr>
        <w:tc>
          <w:tcPr>
            <w:tcW w:w="316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(273)</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(250)</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(113)</w:t>
            </w:r>
          </w:p>
        </w:tc>
        <w:tc>
          <w:tcPr>
            <w:tcW w:w="600" w:type="dxa"/>
            <w:vAlign w:val="bottom"/>
          </w:tcPr>
          <w:p>
            <w:pPr>
              <w:jc w:val="right"/>
              <w:spacing w:after="0"/>
              <w:rPr>
                <w:sz w:val="20"/>
                <w:szCs w:val="20"/>
                <w:color w:val="auto"/>
              </w:rPr>
            </w:pPr>
            <w:r>
              <w:rPr>
                <w:rFonts w:ascii="Arial" w:cs="Arial" w:eastAsia="Arial" w:hAnsi="Arial"/>
                <w:sz w:val="14"/>
                <w:szCs w:val="14"/>
                <w:color w:val="auto"/>
              </w:rPr>
              <w:t>(942)</w:t>
            </w:r>
          </w:p>
        </w:tc>
        <w:tc>
          <w:tcPr>
            <w:tcW w:w="80" w:type="dxa"/>
            <w:vAlign w:val="bottom"/>
          </w:tcPr>
          <w:p>
            <w:pPr>
              <w:spacing w:after="0"/>
              <w:rPr>
                <w:sz w:val="24"/>
                <w:szCs w:val="24"/>
                <w:color w:val="auto"/>
              </w:rPr>
            </w:pPr>
          </w:p>
        </w:tc>
        <w:tc>
          <w:tcPr>
            <w:tcW w:w="2040" w:type="dxa"/>
            <w:vAlign w:val="bottom"/>
          </w:tcPr>
          <w:p>
            <w:pPr>
              <w:jc w:val="right"/>
              <w:ind w:right="1248"/>
              <w:spacing w:after="0"/>
              <w:rPr>
                <w:sz w:val="20"/>
                <w:szCs w:val="20"/>
                <w:color w:val="auto"/>
              </w:rPr>
            </w:pPr>
            <w:r>
              <w:rPr>
                <w:rFonts w:ascii="Arial" w:cs="Arial" w:eastAsia="Arial" w:hAnsi="Arial"/>
                <w:sz w:val="14"/>
                <w:szCs w:val="14"/>
                <w:color w:val="auto"/>
              </w:rPr>
              <w:t>(140)</w:t>
            </w:r>
          </w:p>
        </w:tc>
        <w:tc>
          <w:tcPr>
            <w:tcW w:w="174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157"/>
        </w:trPr>
        <w:tc>
          <w:tcPr>
            <w:tcW w:w="3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r>
      <w:tr>
        <w:trPr>
          <w:trHeight w:val="195"/>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w:t>
            </w: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2,679</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1,793</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2,007</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1,263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7,742</w:t>
            </w:r>
          </w:p>
        </w:tc>
        <w:tc>
          <w:tcPr>
            <w:tcW w:w="80" w:type="dxa"/>
            <w:vAlign w:val="bottom"/>
          </w:tcPr>
          <w:p>
            <w:pPr>
              <w:spacing w:after="0"/>
              <w:rPr>
                <w:sz w:val="16"/>
                <w:szCs w:val="16"/>
                <w:color w:val="auto"/>
              </w:rPr>
            </w:pPr>
          </w:p>
        </w:tc>
        <w:tc>
          <w:tcPr>
            <w:tcW w:w="204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2,324</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w:t>
            </w:r>
          </w:p>
        </w:tc>
      </w:tr>
      <w:tr>
        <w:trPr>
          <w:trHeight w:val="22"/>
        </w:trPr>
        <w:tc>
          <w:tcPr>
            <w:tcW w:w="3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type w:val="continuous"/>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2026</w:t>
            </w:r>
          </w:p>
        </w:tc>
        <w:tc>
          <w:tcPr>
            <w:tcW w:w="840" w:type="dxa"/>
            <w:vAlign w:val="bottom"/>
            <w:tcBorders>
              <w:bottom w:val="single" w:sz="8" w:color="auto"/>
            </w:tcBorders>
          </w:tcPr>
          <w:p>
            <w:pPr>
              <w:spacing w:after="0"/>
              <w:rPr>
                <w:sz w:val="17"/>
                <w:szCs w:val="17"/>
                <w:color w:val="auto"/>
              </w:rPr>
            </w:pPr>
          </w:p>
        </w:tc>
      </w:tr>
      <w:tr>
        <w:trPr>
          <w:trHeight w:val="195"/>
        </w:trPr>
        <w:tc>
          <w:tcPr>
            <w:tcW w:w="3200" w:type="dxa"/>
            <w:vAlign w:val="bottom"/>
          </w:tcPr>
          <w:p>
            <w:pPr>
              <w:spacing w:after="0"/>
              <w:rPr>
                <w:sz w:val="16"/>
                <w:szCs w:val="16"/>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1st Qtr</w:t>
            </w: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2nd Qtr</w:t>
            </w: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3rd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4th Qtr</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Full Year</w:t>
            </w:r>
          </w:p>
        </w:tc>
        <w:tc>
          <w:tcPr>
            <w:tcW w:w="80" w:type="dxa"/>
            <w:vAlign w:val="bottom"/>
          </w:tcPr>
          <w:p>
            <w:pPr>
              <w:spacing w:after="0"/>
              <w:rPr>
                <w:sz w:val="16"/>
                <w:szCs w:val="16"/>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1st Qtr    2nd Qtr</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3rd Qtr   4th Qtr</w:t>
            </w:r>
          </w:p>
        </w:tc>
        <w:tc>
          <w:tcPr>
            <w:tcW w:w="8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YTD</w:t>
            </w:r>
          </w:p>
        </w:tc>
      </w:tr>
      <w:tr>
        <w:trPr>
          <w:trHeight w:val="183"/>
        </w:trPr>
        <w:tc>
          <w:tcPr>
            <w:tcW w:w="3200" w:type="dxa"/>
            <w:vAlign w:val="bottom"/>
          </w:tcPr>
          <w:p>
            <w:pPr>
              <w:ind w:left="20"/>
              <w:spacing w:after="0"/>
              <w:rPr>
                <w:sz w:val="20"/>
                <w:szCs w:val="20"/>
                <w:color w:val="auto"/>
              </w:rPr>
            </w:pPr>
            <w:r>
              <w:rPr>
                <w:rFonts w:ascii="Arial" w:cs="Arial" w:eastAsia="Arial" w:hAnsi="Arial"/>
                <w:sz w:val="14"/>
                <w:szCs w:val="14"/>
                <w:b w:val="1"/>
                <w:bCs w:val="1"/>
                <w:color w:val="0000FF"/>
              </w:rPr>
              <w:t>ADJUSTED EFFECTIVE INCOME TAX RATES</w:t>
            </w: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413"/>
        </w:trPr>
        <w:tc>
          <w:tcPr>
            <w:tcW w:w="3200" w:type="dxa"/>
            <w:vAlign w:val="bottom"/>
          </w:tcPr>
          <w:p>
            <w:pPr>
              <w:ind w:left="20"/>
              <w:spacing w:after="0"/>
              <w:rPr>
                <w:sz w:val="20"/>
                <w:szCs w:val="20"/>
                <w:color w:val="auto"/>
              </w:rPr>
            </w:pPr>
            <w:r>
              <w:rPr>
                <w:rFonts w:ascii="Arial" w:cs="Arial" w:eastAsia="Arial" w:hAnsi="Arial"/>
                <w:sz w:val="14"/>
                <w:szCs w:val="14"/>
                <w:color w:val="auto"/>
              </w:rPr>
              <w:t>Alaska</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30.8 %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26.0 %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30.7 %</w:t>
            </w:r>
          </w:p>
        </w:tc>
        <w:tc>
          <w:tcPr>
            <w:tcW w:w="760" w:type="dxa"/>
            <w:vAlign w:val="bottom"/>
          </w:tcPr>
          <w:p>
            <w:pPr>
              <w:jc w:val="right"/>
              <w:spacing w:after="0"/>
              <w:rPr>
                <w:sz w:val="20"/>
                <w:szCs w:val="20"/>
                <w:color w:val="auto"/>
              </w:rPr>
            </w:pPr>
            <w:r>
              <w:rPr>
                <w:rFonts w:ascii="Arial" w:cs="Arial" w:eastAsia="Arial" w:hAnsi="Arial"/>
                <w:sz w:val="14"/>
                <w:szCs w:val="14"/>
                <w:color w:val="auto"/>
              </w:rPr>
              <w:t>15.9 %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27.2 %</w:t>
            </w:r>
          </w:p>
        </w:tc>
        <w:tc>
          <w:tcPr>
            <w:tcW w:w="1620" w:type="dxa"/>
            <w:vAlign w:val="bottom"/>
            <w:gridSpan w:val="2"/>
          </w:tcPr>
          <w:p>
            <w:pPr>
              <w:jc w:val="right"/>
              <w:ind w:right="648"/>
              <w:spacing w:after="0"/>
              <w:rPr>
                <w:sz w:val="20"/>
                <w:szCs w:val="20"/>
                <w:color w:val="auto"/>
              </w:rPr>
            </w:pPr>
            <w:r>
              <w:rPr>
                <w:rFonts w:ascii="Arial" w:cs="Arial" w:eastAsia="Arial" w:hAnsi="Arial"/>
                <w:sz w:val="14"/>
                <w:szCs w:val="14"/>
                <w:color w:val="auto"/>
              </w:rPr>
              <w:t>23.8 %</w:t>
            </w:r>
          </w:p>
        </w:tc>
        <w:tc>
          <w:tcPr>
            <w:tcW w:w="1400" w:type="dxa"/>
            <w:vAlign w:val="bottom"/>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23.8 %</w:t>
            </w:r>
          </w:p>
        </w:tc>
      </w:tr>
      <w:tr>
        <w:trPr>
          <w:trHeight w:val="351"/>
        </w:trPr>
        <w:tc>
          <w:tcPr>
            <w:tcW w:w="3200" w:type="dxa"/>
            <w:vAlign w:val="bottom"/>
          </w:tcPr>
          <w:p>
            <w:pPr>
              <w:ind w:left="20"/>
              <w:spacing w:after="0"/>
              <w:rPr>
                <w:sz w:val="20"/>
                <w:szCs w:val="20"/>
                <w:color w:val="auto"/>
              </w:rPr>
            </w:pPr>
            <w:r>
              <w:rPr>
                <w:rFonts w:ascii="Arial" w:cs="Arial" w:eastAsia="Arial" w:hAnsi="Arial"/>
                <w:sz w:val="14"/>
                <w:szCs w:val="14"/>
                <w:color w:val="auto"/>
              </w:rPr>
              <w:t>Lower 48</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22.5 %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21.1 %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21.9 %</w:t>
            </w:r>
          </w:p>
        </w:tc>
        <w:tc>
          <w:tcPr>
            <w:tcW w:w="760" w:type="dxa"/>
            <w:vAlign w:val="bottom"/>
          </w:tcPr>
          <w:p>
            <w:pPr>
              <w:jc w:val="right"/>
              <w:spacing w:after="0"/>
              <w:rPr>
                <w:sz w:val="20"/>
                <w:szCs w:val="20"/>
                <w:color w:val="auto"/>
              </w:rPr>
            </w:pPr>
            <w:r>
              <w:rPr>
                <w:rFonts w:ascii="Arial" w:cs="Arial" w:eastAsia="Arial" w:hAnsi="Arial"/>
                <w:sz w:val="14"/>
                <w:szCs w:val="14"/>
                <w:color w:val="auto"/>
              </w:rPr>
              <w:t>18.6 %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1620" w:type="dxa"/>
            <w:vAlign w:val="bottom"/>
            <w:gridSpan w:val="2"/>
          </w:tcPr>
          <w:p>
            <w:pPr>
              <w:jc w:val="right"/>
              <w:ind w:right="648"/>
              <w:spacing w:after="0"/>
              <w:rPr>
                <w:sz w:val="20"/>
                <w:szCs w:val="20"/>
                <w:color w:val="auto"/>
              </w:rPr>
            </w:pPr>
            <w:r>
              <w:rPr>
                <w:rFonts w:ascii="Arial" w:cs="Arial" w:eastAsia="Arial" w:hAnsi="Arial"/>
                <w:sz w:val="14"/>
                <w:szCs w:val="14"/>
                <w:color w:val="auto"/>
              </w:rPr>
              <w:t>21.9 %</w:t>
            </w:r>
          </w:p>
        </w:tc>
        <w:tc>
          <w:tcPr>
            <w:tcW w:w="1400" w:type="dxa"/>
            <w:vAlign w:val="bottom"/>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21.9 %</w:t>
            </w:r>
          </w:p>
        </w:tc>
      </w:tr>
      <w:tr>
        <w:trPr>
          <w:trHeight w:val="351"/>
        </w:trPr>
        <w:tc>
          <w:tcPr>
            <w:tcW w:w="3200" w:type="dxa"/>
            <w:vAlign w:val="bottom"/>
          </w:tcPr>
          <w:p>
            <w:pPr>
              <w:ind w:left="20"/>
              <w:spacing w:after="0"/>
              <w:rPr>
                <w:sz w:val="20"/>
                <w:szCs w:val="20"/>
                <w:color w:val="auto"/>
              </w:rPr>
            </w:pPr>
            <w:r>
              <w:rPr>
                <w:rFonts w:ascii="Arial" w:cs="Arial" w:eastAsia="Arial" w:hAnsi="Arial"/>
                <w:sz w:val="14"/>
                <w:szCs w:val="14"/>
                <w:color w:val="auto"/>
              </w:rPr>
              <w:t>Canada</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24.1 %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25.2 %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24.1 %</w:t>
            </w:r>
          </w:p>
        </w:tc>
        <w:tc>
          <w:tcPr>
            <w:tcW w:w="760" w:type="dxa"/>
            <w:vAlign w:val="bottom"/>
          </w:tcPr>
          <w:p>
            <w:pPr>
              <w:jc w:val="right"/>
              <w:spacing w:after="0"/>
              <w:rPr>
                <w:sz w:val="20"/>
                <w:szCs w:val="20"/>
                <w:color w:val="auto"/>
              </w:rPr>
            </w:pPr>
            <w:r>
              <w:rPr>
                <w:rFonts w:ascii="Arial" w:cs="Arial" w:eastAsia="Arial" w:hAnsi="Arial"/>
                <w:sz w:val="14"/>
                <w:szCs w:val="14"/>
                <w:color w:val="auto"/>
              </w:rPr>
              <w:t>22.7 %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24.1 %</w:t>
            </w:r>
          </w:p>
        </w:tc>
        <w:tc>
          <w:tcPr>
            <w:tcW w:w="1620" w:type="dxa"/>
            <w:vAlign w:val="bottom"/>
            <w:gridSpan w:val="2"/>
          </w:tcPr>
          <w:p>
            <w:pPr>
              <w:jc w:val="right"/>
              <w:ind w:right="648"/>
              <w:spacing w:after="0"/>
              <w:rPr>
                <w:sz w:val="20"/>
                <w:szCs w:val="20"/>
                <w:color w:val="auto"/>
              </w:rPr>
            </w:pPr>
            <w:r>
              <w:rPr>
                <w:rFonts w:ascii="Arial" w:cs="Arial" w:eastAsia="Arial" w:hAnsi="Arial"/>
                <w:sz w:val="14"/>
                <w:szCs w:val="14"/>
                <w:color w:val="auto"/>
              </w:rPr>
              <w:t>24.2 %</w:t>
            </w:r>
          </w:p>
        </w:tc>
        <w:tc>
          <w:tcPr>
            <w:tcW w:w="1400" w:type="dxa"/>
            <w:vAlign w:val="bottom"/>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24.2 %</w:t>
            </w:r>
          </w:p>
        </w:tc>
      </w:tr>
      <w:tr>
        <w:trPr>
          <w:trHeight w:val="351"/>
        </w:trPr>
        <w:tc>
          <w:tcPr>
            <w:tcW w:w="3200" w:type="dxa"/>
            <w:vAlign w:val="bottom"/>
          </w:tcPr>
          <w:p>
            <w:pPr>
              <w:ind w:left="20"/>
              <w:spacing w:after="0"/>
              <w:rPr>
                <w:sz w:val="20"/>
                <w:szCs w:val="20"/>
                <w:color w:val="auto"/>
              </w:rPr>
            </w:pPr>
            <w:r>
              <w:rPr>
                <w:rFonts w:ascii="Arial" w:cs="Arial" w:eastAsia="Arial" w:hAnsi="Arial"/>
                <w:sz w:val="14"/>
                <w:szCs w:val="14"/>
                <w:color w:val="auto"/>
              </w:rPr>
              <w:t>Europe, Middle East and North Africa</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68.8 %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71.4 %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67.3 %</w:t>
            </w:r>
          </w:p>
        </w:tc>
        <w:tc>
          <w:tcPr>
            <w:tcW w:w="760" w:type="dxa"/>
            <w:vAlign w:val="bottom"/>
          </w:tcPr>
          <w:p>
            <w:pPr>
              <w:jc w:val="right"/>
              <w:spacing w:after="0"/>
              <w:rPr>
                <w:sz w:val="20"/>
                <w:szCs w:val="20"/>
                <w:color w:val="auto"/>
              </w:rPr>
            </w:pPr>
            <w:r>
              <w:rPr>
                <w:rFonts w:ascii="Arial" w:cs="Arial" w:eastAsia="Arial" w:hAnsi="Arial"/>
                <w:sz w:val="14"/>
                <w:szCs w:val="14"/>
                <w:color w:val="auto"/>
              </w:rPr>
              <w:t>72.4 %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69.7 %</w:t>
            </w:r>
          </w:p>
        </w:tc>
        <w:tc>
          <w:tcPr>
            <w:tcW w:w="1620" w:type="dxa"/>
            <w:vAlign w:val="bottom"/>
            <w:gridSpan w:val="2"/>
          </w:tcPr>
          <w:p>
            <w:pPr>
              <w:jc w:val="right"/>
              <w:ind w:right="648"/>
              <w:spacing w:after="0"/>
              <w:rPr>
                <w:sz w:val="20"/>
                <w:szCs w:val="20"/>
                <w:color w:val="auto"/>
              </w:rPr>
            </w:pPr>
            <w:r>
              <w:rPr>
                <w:rFonts w:ascii="Arial" w:cs="Arial" w:eastAsia="Arial" w:hAnsi="Arial"/>
                <w:sz w:val="14"/>
                <w:szCs w:val="14"/>
                <w:color w:val="auto"/>
              </w:rPr>
              <w:t>73.2 %</w:t>
            </w:r>
          </w:p>
        </w:tc>
        <w:tc>
          <w:tcPr>
            <w:tcW w:w="1400" w:type="dxa"/>
            <w:vAlign w:val="bottom"/>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73.2 %</w:t>
            </w:r>
          </w:p>
        </w:tc>
      </w:tr>
      <w:tr>
        <w:trPr>
          <w:trHeight w:val="351"/>
        </w:trPr>
        <w:tc>
          <w:tcPr>
            <w:tcW w:w="32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17.1 %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16.8 %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22.5 %</w:t>
            </w:r>
          </w:p>
        </w:tc>
        <w:tc>
          <w:tcPr>
            <w:tcW w:w="760" w:type="dxa"/>
            <w:vAlign w:val="bottom"/>
          </w:tcPr>
          <w:p>
            <w:pPr>
              <w:jc w:val="right"/>
              <w:spacing w:after="0"/>
              <w:rPr>
                <w:sz w:val="20"/>
                <w:szCs w:val="20"/>
                <w:color w:val="auto"/>
              </w:rPr>
            </w:pPr>
            <w:r>
              <w:rPr>
                <w:rFonts w:ascii="Arial" w:cs="Arial" w:eastAsia="Arial" w:hAnsi="Arial"/>
                <w:sz w:val="14"/>
                <w:szCs w:val="14"/>
                <w:color w:val="auto"/>
              </w:rPr>
              <w:t>8.5 %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17.1 %</w:t>
            </w:r>
          </w:p>
        </w:tc>
        <w:tc>
          <w:tcPr>
            <w:tcW w:w="1620" w:type="dxa"/>
            <w:vAlign w:val="bottom"/>
            <w:gridSpan w:val="2"/>
          </w:tcPr>
          <w:p>
            <w:pPr>
              <w:jc w:val="right"/>
              <w:ind w:right="648"/>
              <w:spacing w:after="0"/>
              <w:rPr>
                <w:sz w:val="20"/>
                <w:szCs w:val="20"/>
                <w:color w:val="auto"/>
              </w:rPr>
            </w:pPr>
            <w:r>
              <w:rPr>
                <w:rFonts w:ascii="Arial" w:cs="Arial" w:eastAsia="Arial" w:hAnsi="Arial"/>
                <w:sz w:val="14"/>
                <w:szCs w:val="14"/>
                <w:color w:val="auto"/>
              </w:rPr>
              <w:t>17.0 %</w:t>
            </w:r>
          </w:p>
        </w:tc>
        <w:tc>
          <w:tcPr>
            <w:tcW w:w="1400" w:type="dxa"/>
            <w:vAlign w:val="bottom"/>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17.0 %</w:t>
            </w:r>
          </w:p>
        </w:tc>
      </w:tr>
      <w:tr>
        <w:trPr>
          <w:trHeight w:val="351"/>
        </w:trPr>
        <w:tc>
          <w:tcPr>
            <w:tcW w:w="320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13.4 %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25.3 %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760" w:type="dxa"/>
            <w:vAlign w:val="bottom"/>
          </w:tcPr>
          <w:p>
            <w:pPr>
              <w:jc w:val="right"/>
              <w:spacing w:after="0"/>
              <w:rPr>
                <w:sz w:val="20"/>
                <w:szCs w:val="20"/>
                <w:color w:val="auto"/>
              </w:rPr>
            </w:pPr>
            <w:r>
              <w:rPr>
                <w:rFonts w:ascii="Arial" w:cs="Arial" w:eastAsia="Arial" w:hAnsi="Arial"/>
                <w:sz w:val="14"/>
                <w:szCs w:val="14"/>
                <w:color w:val="auto"/>
              </w:rPr>
              <w:t>49.8 %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19.3 %</w:t>
            </w:r>
          </w:p>
        </w:tc>
        <w:tc>
          <w:tcPr>
            <w:tcW w:w="1620" w:type="dxa"/>
            <w:vAlign w:val="bottom"/>
            <w:gridSpan w:val="2"/>
          </w:tcPr>
          <w:p>
            <w:pPr>
              <w:jc w:val="right"/>
              <w:ind w:right="648"/>
              <w:spacing w:after="0"/>
              <w:rPr>
                <w:sz w:val="20"/>
                <w:szCs w:val="20"/>
                <w:color w:val="auto"/>
              </w:rPr>
            </w:pPr>
            <w:r>
              <w:rPr>
                <w:rFonts w:ascii="Arial" w:cs="Arial" w:eastAsia="Arial" w:hAnsi="Arial"/>
                <w:sz w:val="14"/>
                <w:szCs w:val="14"/>
                <w:color w:val="auto"/>
              </w:rPr>
              <w:t>44.8 %</w:t>
            </w:r>
          </w:p>
        </w:tc>
        <w:tc>
          <w:tcPr>
            <w:tcW w:w="1400" w:type="dxa"/>
            <w:vAlign w:val="bottom"/>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44.8 %</w:t>
            </w:r>
          </w:p>
        </w:tc>
      </w:tr>
      <w:tr>
        <w:trPr>
          <w:trHeight w:val="157"/>
        </w:trPr>
        <w:tc>
          <w:tcPr>
            <w:tcW w:w="3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Consolidated</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37.9 %</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35.6 %</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39.0 %</w:t>
            </w:r>
          </w:p>
        </w:tc>
        <w:tc>
          <w:tcPr>
            <w:tcW w:w="760" w:type="dxa"/>
            <w:vAlign w:val="bottom"/>
          </w:tcPr>
          <w:p>
            <w:pPr>
              <w:jc w:val="right"/>
              <w:spacing w:after="0"/>
              <w:rPr>
                <w:sz w:val="20"/>
                <w:szCs w:val="20"/>
                <w:color w:val="auto"/>
              </w:rPr>
            </w:pPr>
            <w:r>
              <w:rPr>
                <w:rFonts w:ascii="Arial" w:cs="Arial" w:eastAsia="Arial" w:hAnsi="Arial"/>
                <w:sz w:val="14"/>
                <w:szCs w:val="14"/>
                <w:color w:val="auto"/>
              </w:rPr>
              <w:t>38.1 %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37.7 %</w:t>
            </w:r>
          </w:p>
        </w:tc>
        <w:tc>
          <w:tcPr>
            <w:tcW w:w="1620" w:type="dxa"/>
            <w:vAlign w:val="bottom"/>
            <w:gridSpan w:val="2"/>
          </w:tcPr>
          <w:p>
            <w:pPr>
              <w:jc w:val="right"/>
              <w:ind w:right="648"/>
              <w:spacing w:after="0"/>
              <w:rPr>
                <w:sz w:val="20"/>
                <w:szCs w:val="20"/>
                <w:color w:val="auto"/>
              </w:rPr>
            </w:pPr>
            <w:r>
              <w:rPr>
                <w:rFonts w:ascii="Arial" w:cs="Arial" w:eastAsia="Arial" w:hAnsi="Arial"/>
                <w:sz w:val="14"/>
                <w:szCs w:val="14"/>
                <w:color w:val="auto"/>
              </w:rPr>
              <w:t>34.5 %</w:t>
            </w:r>
          </w:p>
        </w:tc>
        <w:tc>
          <w:tcPr>
            <w:tcW w:w="1400" w:type="dxa"/>
            <w:vAlign w:val="bottom"/>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34.5 %</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5"/>
        </w:trPr>
        <w:tc>
          <w:tcPr>
            <w:tcW w:w="3600" w:type="dxa"/>
            <w:vAlign w:val="bottom"/>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3rd Qtr</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Full Year</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 Millions</w:t>
            </w: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8"/>
        </w:trPr>
        <w:tc>
          <w:tcPr>
            <w:tcW w:w="3600" w:type="dxa"/>
            <w:vAlign w:val="bottom"/>
          </w:tcPr>
          <w:p>
            <w:pPr>
              <w:ind w:left="20"/>
              <w:spacing w:after="0"/>
              <w:rPr>
                <w:sz w:val="20"/>
                <w:szCs w:val="20"/>
                <w:color w:val="auto"/>
              </w:rPr>
            </w:pPr>
            <w:r>
              <w:rPr>
                <w:rFonts w:ascii="Arial" w:cs="Arial" w:eastAsia="Arial" w:hAnsi="Arial"/>
                <w:sz w:val="14"/>
                <w:szCs w:val="14"/>
                <w:b w:val="1"/>
                <w:bCs w:val="1"/>
                <w:color w:val="0000FF"/>
              </w:rPr>
              <w:t>DETAILED SPECIAL ITEMS</w:t>
            </w: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Alaska</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7"/>
        </w:trPr>
        <w:tc>
          <w:tcPr>
            <w:tcW w:w="3600" w:type="dxa"/>
            <w:vAlign w:val="bottom"/>
          </w:tcPr>
          <w:p>
            <w:pPr>
              <w:ind w:left="20"/>
              <w:spacing w:after="0"/>
              <w:rPr>
                <w:sz w:val="20"/>
                <w:szCs w:val="20"/>
                <w:color w:val="auto"/>
              </w:rPr>
            </w:pPr>
            <w:r>
              <w:rPr>
                <w:rFonts w:ascii="Arial" w:cs="Arial" w:eastAsia="Arial" w:hAnsi="Arial"/>
                <w:sz w:val="14"/>
                <w:szCs w:val="14"/>
                <w:color w:val="auto"/>
              </w:rPr>
              <w:t>Transaction, integration and restructuring expenses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0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Pending claims and settlements</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192"/>
        </w:trPr>
        <w:tc>
          <w:tcPr>
            <w:tcW w:w="3600" w:type="dxa"/>
            <w:vAlign w:val="bottom"/>
          </w:tcPr>
          <w:p>
            <w:pPr>
              <w:ind w:left="140"/>
              <w:spacing w:after="0"/>
              <w:rPr>
                <w:sz w:val="20"/>
                <w:szCs w:val="20"/>
                <w:color w:val="auto"/>
              </w:rPr>
            </w:pPr>
            <w:r>
              <w:rPr>
                <w:rFonts w:ascii="Arial" w:cs="Arial" w:eastAsia="Arial" w:hAnsi="Arial"/>
                <w:sz w:val="14"/>
                <w:szCs w:val="14"/>
                <w:color w:val="auto"/>
              </w:rPr>
              <w:t>Subtotal before income taxes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0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40"/>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315"/>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Lower 48</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7"/>
        </w:trPr>
        <w:tc>
          <w:tcPr>
            <w:tcW w:w="3600" w:type="dxa"/>
            <w:vAlign w:val="bottom"/>
          </w:tcPr>
          <w:p>
            <w:pPr>
              <w:ind w:left="20"/>
              <w:spacing w:after="0"/>
              <w:rPr>
                <w:sz w:val="20"/>
                <w:szCs w:val="20"/>
                <w:color w:val="auto"/>
              </w:rPr>
            </w:pPr>
            <w:r>
              <w:rPr>
                <w:rFonts w:ascii="Arial" w:cs="Arial" w:eastAsia="Arial" w:hAnsi="Arial"/>
                <w:sz w:val="14"/>
                <w:szCs w:val="14"/>
                <w:color w:val="auto"/>
              </w:rPr>
              <w:t>Transaction, integration and restructuring expenses</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03"/>
        </w:trPr>
        <w:tc>
          <w:tcPr>
            <w:tcW w:w="3600" w:type="dxa"/>
            <w:vAlign w:val="bottom"/>
          </w:tcPr>
          <w:p>
            <w:pPr>
              <w:ind w:left="20"/>
              <w:spacing w:after="0"/>
              <w:rPr>
                <w:sz w:val="20"/>
                <w:szCs w:val="20"/>
                <w:color w:val="auto"/>
              </w:rPr>
            </w:pPr>
            <w:r>
              <w:rPr>
                <w:rFonts w:ascii="Arial" w:cs="Arial" w:eastAsia="Arial" w:hAnsi="Arial"/>
                <w:sz w:val="14"/>
                <w:szCs w:val="14"/>
                <w:color w:val="auto"/>
              </w:rPr>
              <w:t>Gain (loss) on asset sales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274</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r>
      <w:tr>
        <w:trPr>
          <w:trHeight w:val="20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Pending claims and settlements</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92"/>
        </w:trPr>
        <w:tc>
          <w:tcPr>
            <w:tcW w:w="3600" w:type="dxa"/>
            <w:vAlign w:val="bottom"/>
          </w:tcPr>
          <w:p>
            <w:pPr>
              <w:ind w:left="140"/>
              <w:spacing w:after="0"/>
              <w:rPr>
                <w:sz w:val="20"/>
                <w:szCs w:val="20"/>
                <w:color w:val="auto"/>
              </w:rPr>
            </w:pPr>
            <w:r>
              <w:rPr>
                <w:rFonts w:ascii="Arial" w:cs="Arial" w:eastAsia="Arial" w:hAnsi="Arial"/>
                <w:sz w:val="14"/>
                <w:szCs w:val="14"/>
                <w:color w:val="auto"/>
              </w:rPr>
              <w:t>Subtotal before income taxes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270</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700" w:type="dxa"/>
            <w:vAlign w:val="bottom"/>
          </w:tcPr>
          <w:p>
            <w:pPr>
              <w:jc w:val="right"/>
              <w:spacing w:after="0"/>
              <w:rPr>
                <w:sz w:val="20"/>
                <w:szCs w:val="20"/>
                <w:color w:val="auto"/>
              </w:rPr>
            </w:pPr>
            <w:r>
              <w:rPr>
                <w:rFonts w:ascii="Arial" w:cs="Arial" w:eastAsia="Arial" w:hAnsi="Arial"/>
                <w:sz w:val="14"/>
                <w:szCs w:val="14"/>
                <w:color w:val="auto"/>
              </w:rPr>
              <w:t>245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r>
      <w:tr>
        <w:trPr>
          <w:trHeight w:val="20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40"/>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r>
      <w:tr>
        <w:trPr>
          <w:trHeight w:val="315"/>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Canada</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7"/>
        </w:trPr>
        <w:tc>
          <w:tcPr>
            <w:tcW w:w="3600" w:type="dxa"/>
            <w:vAlign w:val="bottom"/>
          </w:tcPr>
          <w:p>
            <w:pPr>
              <w:ind w:left="20"/>
              <w:spacing w:after="0"/>
              <w:rPr>
                <w:sz w:val="20"/>
                <w:szCs w:val="20"/>
                <w:color w:val="auto"/>
              </w:rPr>
            </w:pPr>
            <w:r>
              <w:rPr>
                <w:rFonts w:ascii="Arial" w:cs="Arial" w:eastAsia="Arial" w:hAnsi="Arial"/>
                <w:sz w:val="14"/>
                <w:szCs w:val="14"/>
                <w:color w:val="auto"/>
              </w:rPr>
              <w:t>Pending claims and settlements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3600" w:type="dxa"/>
            <w:vAlign w:val="bottom"/>
          </w:tcPr>
          <w:p>
            <w:pPr>
              <w:ind w:left="20"/>
              <w:spacing w:after="0"/>
              <w:rPr>
                <w:sz w:val="20"/>
                <w:szCs w:val="20"/>
                <w:color w:val="auto"/>
              </w:rPr>
            </w:pPr>
            <w:r>
              <w:rPr>
                <w:rFonts w:ascii="Arial" w:cs="Arial" w:eastAsia="Arial" w:hAnsi="Arial"/>
                <w:sz w:val="14"/>
                <w:szCs w:val="14"/>
                <w:color w:val="auto"/>
              </w:rPr>
              <w:t>Gain (loss) on contingent liability measurement</w:t>
            </w:r>
            <w:r>
              <w:rPr>
                <w:rFonts w:ascii="Arial" w:cs="Arial" w:eastAsia="Arial" w:hAnsi="Arial"/>
                <w:sz w:val="18"/>
                <w:szCs w:val="18"/>
                <w:color w:val="auto"/>
                <w:vertAlign w:val="superscript"/>
              </w:rPr>
              <w:t>1</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color w:val="auto"/>
              </w:rPr>
              <w:t>Transaction, integration and restructuring expenses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03"/>
        </w:trPr>
        <w:tc>
          <w:tcPr>
            <w:tcW w:w="3600" w:type="dxa"/>
            <w:vAlign w:val="bottom"/>
          </w:tcPr>
          <w:p>
            <w:pPr>
              <w:ind w:left="140"/>
              <w:spacing w:after="0"/>
              <w:rPr>
                <w:sz w:val="20"/>
                <w:szCs w:val="20"/>
                <w:color w:val="auto"/>
              </w:rPr>
            </w:pPr>
            <w:r>
              <w:rPr>
                <w:rFonts w:ascii="Arial" w:cs="Arial" w:eastAsia="Arial" w:hAnsi="Arial"/>
                <w:sz w:val="14"/>
                <w:szCs w:val="14"/>
                <w:color w:val="auto"/>
              </w:rPr>
              <w:t>Subtotal before income taxes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700" w:type="dxa"/>
            <w:vAlign w:val="bottom"/>
          </w:tcPr>
          <w:p>
            <w:pPr>
              <w:jc w:val="right"/>
              <w:spacing w:after="0"/>
              <w:rPr>
                <w:sz w:val="20"/>
                <w:szCs w:val="20"/>
                <w:color w:val="auto"/>
              </w:rPr>
            </w:pPr>
            <w:r>
              <w:rPr>
                <w:rFonts w:ascii="Arial" w:cs="Arial" w:eastAsia="Arial" w:hAnsi="Arial"/>
                <w:sz w:val="14"/>
                <w:szCs w:val="14"/>
                <w:color w:val="auto"/>
              </w:rPr>
              <w:t>59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41"/>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315"/>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Europe, Middle East and North Africa</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6"/>
        </w:trPr>
        <w:tc>
          <w:tcPr>
            <w:tcW w:w="3600" w:type="dxa"/>
            <w:vAlign w:val="bottom"/>
          </w:tcPr>
          <w:p>
            <w:pPr>
              <w:ind w:left="20"/>
              <w:spacing w:after="0"/>
              <w:rPr>
                <w:sz w:val="20"/>
                <w:szCs w:val="20"/>
                <w:color w:val="auto"/>
              </w:rPr>
            </w:pPr>
            <w:r>
              <w:rPr>
                <w:rFonts w:ascii="Arial" w:cs="Arial" w:eastAsia="Arial" w:hAnsi="Arial"/>
                <w:sz w:val="14"/>
                <w:szCs w:val="14"/>
                <w:color w:val="auto"/>
              </w:rPr>
              <w:t>Transaction, integration and restructuring expenses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700" w:type="dxa"/>
            <w:vAlign w:val="bottom"/>
          </w:tcPr>
          <w:p>
            <w:pPr>
              <w:jc w:val="right"/>
              <w:spacing w:after="0"/>
              <w:rPr>
                <w:sz w:val="20"/>
                <w:szCs w:val="20"/>
                <w:color w:val="auto"/>
              </w:rPr>
            </w:pPr>
            <w:r>
              <w:rPr>
                <w:rFonts w:ascii="Arial" w:cs="Arial" w:eastAsia="Arial" w:hAnsi="Arial"/>
                <w:sz w:val="14"/>
                <w:szCs w:val="14"/>
                <w:color w:val="auto"/>
              </w:rPr>
              <w:t>(45)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0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40"/>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315"/>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Asia Pacific</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6"/>
        </w:trPr>
        <w:tc>
          <w:tcPr>
            <w:tcW w:w="3600" w:type="dxa"/>
            <w:vAlign w:val="bottom"/>
          </w:tcPr>
          <w:p>
            <w:pPr>
              <w:ind w:left="20"/>
              <w:spacing w:after="0"/>
              <w:rPr>
                <w:sz w:val="20"/>
                <w:szCs w:val="20"/>
                <w:color w:val="auto"/>
              </w:rPr>
            </w:pPr>
            <w:r>
              <w:rPr>
                <w:rFonts w:ascii="Arial" w:cs="Arial" w:eastAsia="Arial" w:hAnsi="Arial"/>
                <w:sz w:val="14"/>
                <w:szCs w:val="14"/>
                <w:color w:val="auto"/>
              </w:rPr>
              <w:t>Transaction, integration and restructuring expenses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0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40"/>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316"/>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Corporate and Other</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6"/>
        </w:trPr>
        <w:tc>
          <w:tcPr>
            <w:tcW w:w="3600" w:type="dxa"/>
            <w:vAlign w:val="bottom"/>
          </w:tcPr>
          <w:p>
            <w:pPr>
              <w:ind w:left="20"/>
              <w:spacing w:after="0"/>
              <w:rPr>
                <w:sz w:val="20"/>
                <w:szCs w:val="20"/>
                <w:color w:val="auto"/>
              </w:rPr>
            </w:pPr>
            <w:r>
              <w:rPr>
                <w:rFonts w:ascii="Arial" w:cs="Arial" w:eastAsia="Arial" w:hAnsi="Arial"/>
                <w:sz w:val="14"/>
                <w:szCs w:val="14"/>
                <w:color w:val="auto"/>
              </w:rPr>
              <w:t>Pending claims and settlements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03"/>
        </w:trPr>
        <w:tc>
          <w:tcPr>
            <w:tcW w:w="3600" w:type="dxa"/>
            <w:vAlign w:val="bottom"/>
          </w:tcPr>
          <w:p>
            <w:pPr>
              <w:ind w:left="20"/>
              <w:spacing w:after="0"/>
              <w:rPr>
                <w:sz w:val="20"/>
                <w:szCs w:val="20"/>
                <w:color w:val="auto"/>
              </w:rPr>
            </w:pPr>
            <w:r>
              <w:rPr>
                <w:rFonts w:ascii="Arial" w:cs="Arial" w:eastAsia="Arial" w:hAnsi="Arial"/>
                <w:sz w:val="14"/>
                <w:szCs w:val="14"/>
                <w:color w:val="auto"/>
              </w:rPr>
              <w:t>Transaction, integration and restructuring expenses</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r>
      <w:tr>
        <w:trPr>
          <w:trHeight w:val="203"/>
        </w:trPr>
        <w:tc>
          <w:tcPr>
            <w:tcW w:w="3600" w:type="dxa"/>
            <w:vAlign w:val="bottom"/>
          </w:tcPr>
          <w:p>
            <w:pPr>
              <w:ind w:left="20"/>
              <w:spacing w:after="0"/>
              <w:rPr>
                <w:sz w:val="20"/>
                <w:szCs w:val="20"/>
                <w:color w:val="auto"/>
              </w:rPr>
            </w:pPr>
            <w:r>
              <w:rPr>
                <w:rFonts w:ascii="Arial" w:cs="Arial" w:eastAsia="Arial" w:hAnsi="Arial"/>
                <w:sz w:val="14"/>
                <w:szCs w:val="14"/>
                <w:color w:val="auto"/>
              </w:rPr>
              <w:t>Other corporate charges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215"/>
        </w:trPr>
        <w:tc>
          <w:tcPr>
            <w:tcW w:w="3600" w:type="dxa"/>
            <w:vAlign w:val="bottom"/>
          </w:tcPr>
          <w:p>
            <w:pPr>
              <w:ind w:left="20"/>
              <w:spacing w:after="0"/>
              <w:rPr>
                <w:sz w:val="20"/>
                <w:szCs w:val="20"/>
                <w:color w:val="auto"/>
              </w:rPr>
            </w:pPr>
            <w:r>
              <w:rPr>
                <w:rFonts w:ascii="Arial" w:cs="Arial" w:eastAsia="Arial" w:hAnsi="Arial"/>
                <w:sz w:val="14"/>
                <w:szCs w:val="14"/>
                <w:color w:val="auto"/>
              </w:rPr>
              <w:t>Gain (loss) on interest rate hedge</w:t>
            </w:r>
            <w:r>
              <w:rPr>
                <w:rFonts w:ascii="Arial" w:cs="Arial" w:eastAsia="Arial" w:hAnsi="Arial"/>
                <w:sz w:val="18"/>
                <w:szCs w:val="18"/>
                <w:color w:val="auto"/>
                <w:vertAlign w:val="superscript"/>
              </w:rPr>
              <w:t>2</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94"/>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Gain (loss) on asset sales</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2"/>
        </w:trPr>
        <w:tc>
          <w:tcPr>
            <w:tcW w:w="3600" w:type="dxa"/>
            <w:vAlign w:val="bottom"/>
          </w:tcPr>
          <w:p>
            <w:pPr>
              <w:ind w:left="140"/>
              <w:spacing w:after="0"/>
              <w:rPr>
                <w:sz w:val="20"/>
                <w:szCs w:val="20"/>
                <w:color w:val="auto"/>
              </w:rPr>
            </w:pPr>
            <w:r>
              <w:rPr>
                <w:rFonts w:ascii="Arial" w:cs="Arial" w:eastAsia="Arial" w:hAnsi="Arial"/>
                <w:sz w:val="14"/>
                <w:szCs w:val="14"/>
                <w:color w:val="auto"/>
              </w:rPr>
              <w:t>Subtotal before income taxes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20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40"/>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318"/>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Total Company</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(281)</w:t>
            </w:r>
          </w:p>
        </w:tc>
        <w:tc>
          <w:tcPr>
            <w:tcW w:w="700" w:type="dxa"/>
            <w:vAlign w:val="bottom"/>
          </w:tcPr>
          <w:p>
            <w:pPr>
              <w:jc w:val="right"/>
              <w:spacing w:after="0"/>
              <w:rPr>
                <w:sz w:val="20"/>
                <w:szCs w:val="20"/>
                <w:color w:val="auto"/>
              </w:rPr>
            </w:pPr>
            <w:r>
              <w:rPr>
                <w:rFonts w:ascii="Arial" w:cs="Arial" w:eastAsia="Arial" w:hAnsi="Arial"/>
                <w:sz w:val="14"/>
                <w:szCs w:val="14"/>
                <w:color w:val="auto"/>
              </w:rPr>
              <w:t>179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23495</wp:posOffset>
            </wp:positionV>
            <wp:extent cx="480060" cy="745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0060" cy="74549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1st Qtr    2nd Qtr   3rd Qtr    4th Qtr</w:t>
            </w: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YTD</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r>
      <w:tr>
        <w:trPr>
          <w:trHeight w:val="198"/>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r>
      <w:tr>
        <w:trPr>
          <w:trHeight w:val="240"/>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20"/>
                <w:szCs w:val="20"/>
                <w:color w:val="auto"/>
              </w:rPr>
            </w:pPr>
          </w:p>
        </w:tc>
      </w:tr>
      <w:tr>
        <w:trPr>
          <w:trHeight w:val="51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r>
      <w:tr>
        <w:trPr>
          <w:trHeight w:val="240"/>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20"/>
                <w:szCs w:val="20"/>
                <w:color w:val="auto"/>
              </w:rPr>
            </w:pPr>
          </w:p>
        </w:tc>
      </w:tr>
      <w:tr>
        <w:trPr>
          <w:trHeight w:val="512"/>
        </w:trPr>
        <w:tc>
          <w:tcPr>
            <w:tcW w:w="3020" w:type="dxa"/>
            <w:vAlign w:val="bottom"/>
          </w:tcPr>
          <w:p>
            <w:pPr>
              <w:jc w:val="right"/>
              <w:ind w:right="2228"/>
              <w:spacing w:after="0"/>
              <w:rPr>
                <w:sz w:val="20"/>
                <w:szCs w:val="20"/>
                <w:color w:val="auto"/>
              </w:rPr>
            </w:pPr>
            <w:r>
              <w:rPr>
                <w:rFonts w:ascii="Arial" w:cs="Arial" w:eastAsia="Arial" w:hAnsi="Arial"/>
                <w:sz w:val="14"/>
                <w:szCs w:val="14"/>
                <w:color w:val="auto"/>
              </w:rPr>
              <w:t>(83)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20" w:type="dxa"/>
            <w:vAlign w:val="bottom"/>
            <w:shd w:val="clear" w:color="auto" w:fill="CCEEFF"/>
          </w:tcPr>
          <w:p>
            <w:pPr>
              <w:spacing w:after="0"/>
              <w:rPr>
                <w:sz w:val="24"/>
                <w:szCs w:val="24"/>
                <w:color w:val="auto"/>
              </w:rPr>
            </w:pPr>
          </w:p>
        </w:tc>
      </w:tr>
      <w:tr>
        <w:trPr>
          <w:trHeight w:val="203"/>
        </w:trPr>
        <w:tc>
          <w:tcPr>
            <w:tcW w:w="3020" w:type="dxa"/>
            <w:vAlign w:val="bottom"/>
          </w:tcPr>
          <w:p>
            <w:pPr>
              <w:jc w:val="right"/>
              <w:ind w:right="2228"/>
              <w:spacing w:after="0"/>
              <w:rPr>
                <w:sz w:val="20"/>
                <w:szCs w:val="20"/>
                <w:color w:val="auto"/>
              </w:rPr>
            </w:pPr>
            <w:r>
              <w:rPr>
                <w:rFonts w:ascii="Arial" w:cs="Arial" w:eastAsia="Arial" w:hAnsi="Arial"/>
                <w:sz w:val="14"/>
                <w:szCs w:val="14"/>
                <w:color w:val="auto"/>
              </w:rPr>
              <w:t>(78)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28"/>
              <w:spacing w:after="0"/>
              <w:rPr>
                <w:sz w:val="20"/>
                <w:szCs w:val="20"/>
                <w:color w:val="auto"/>
              </w:rPr>
            </w:pPr>
            <w:r>
              <w:rPr>
                <w:rFonts w:ascii="Arial" w:cs="Arial" w:eastAsia="Arial" w:hAnsi="Arial"/>
                <w:sz w:val="14"/>
                <w:szCs w:val="14"/>
                <w:color w:val="auto"/>
              </w:rPr>
              <w:t>(161)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20" w:type="dxa"/>
            <w:vAlign w:val="bottom"/>
            <w:shd w:val="clear" w:color="auto" w:fill="CCEEFF"/>
          </w:tcPr>
          <w:p>
            <w:pPr>
              <w:spacing w:after="0"/>
              <w:rPr>
                <w:sz w:val="17"/>
                <w:szCs w:val="17"/>
                <w:color w:val="auto"/>
              </w:rPr>
            </w:pPr>
          </w:p>
        </w:tc>
      </w:tr>
      <w:tr>
        <w:trPr>
          <w:trHeight w:val="207"/>
        </w:trPr>
        <w:tc>
          <w:tcPr>
            <w:tcW w:w="3020" w:type="dxa"/>
            <w:vAlign w:val="bottom"/>
            <w:tcBorders>
              <w:bottom w:val="single" w:sz="8" w:color="auto"/>
            </w:tcBorders>
          </w:tcPr>
          <w:p>
            <w:pPr>
              <w:jc w:val="right"/>
              <w:ind w:right="2228"/>
              <w:spacing w:after="0"/>
              <w:rPr>
                <w:sz w:val="20"/>
                <w:szCs w:val="20"/>
                <w:color w:val="auto"/>
              </w:rPr>
            </w:pPr>
            <w:r>
              <w:rPr>
                <w:rFonts w:ascii="Arial" w:cs="Arial" w:eastAsia="Arial" w:hAnsi="Arial"/>
                <w:sz w:val="14"/>
                <w:szCs w:val="14"/>
                <w:color w:val="auto"/>
              </w:rPr>
              <w:t>(39)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tcBorders>
              <w:bottom w:val="single" w:sz="8" w:color="auto"/>
            </w:tcBorders>
            <w:shd w:val="clear" w:color="auto" w:fill="CCEEFF"/>
          </w:tcPr>
          <w:p>
            <w:pPr>
              <w:spacing w:after="0"/>
              <w:rPr>
                <w:sz w:val="17"/>
                <w:szCs w:val="17"/>
                <w:color w:val="auto"/>
              </w:rPr>
            </w:pPr>
          </w:p>
        </w:tc>
      </w:tr>
      <w:tr>
        <w:trPr>
          <w:trHeight w:val="241"/>
        </w:trPr>
        <w:tc>
          <w:tcPr>
            <w:tcW w:w="3020" w:type="dxa"/>
            <w:vAlign w:val="bottom"/>
            <w:tcBorders>
              <w:bottom w:val="single" w:sz="8" w:color="auto"/>
            </w:tcBorders>
          </w:tcPr>
          <w:p>
            <w:pPr>
              <w:jc w:val="right"/>
              <w:ind w:right="2228"/>
              <w:spacing w:after="0"/>
              <w:rPr>
                <w:sz w:val="20"/>
                <w:szCs w:val="20"/>
                <w:color w:val="auto"/>
              </w:rPr>
            </w:pPr>
            <w:r>
              <w:rPr>
                <w:rFonts w:ascii="Arial" w:cs="Arial" w:eastAsia="Arial" w:hAnsi="Arial"/>
                <w:sz w:val="14"/>
                <w:szCs w:val="14"/>
                <w:color w:val="auto"/>
              </w:rPr>
              <w:t>(122)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tcBorders>
              <w:bottom w:val="single" w:sz="8" w:color="auto"/>
            </w:tcBorders>
            <w:shd w:val="clear" w:color="auto" w:fill="CCEEFF"/>
          </w:tcPr>
          <w:p>
            <w:pPr>
              <w:spacing w:after="0"/>
              <w:rPr>
                <w:sz w:val="20"/>
                <w:szCs w:val="20"/>
                <w:color w:val="auto"/>
              </w:rPr>
            </w:pPr>
          </w:p>
        </w:tc>
      </w:tr>
      <w:tr>
        <w:trPr>
          <w:trHeight w:val="51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r>
      <w:tr>
        <w:trPr>
          <w:trHeight w:val="240"/>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20"/>
                <w:szCs w:val="20"/>
                <w:color w:val="auto"/>
              </w:rPr>
            </w:pPr>
          </w:p>
        </w:tc>
      </w:tr>
      <w:tr>
        <w:trPr>
          <w:trHeight w:val="51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r>
      <w:tr>
        <w:trPr>
          <w:trHeight w:val="240"/>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20"/>
                <w:szCs w:val="20"/>
                <w:color w:val="auto"/>
              </w:rPr>
            </w:pPr>
          </w:p>
        </w:tc>
      </w:tr>
      <w:tr>
        <w:trPr>
          <w:trHeight w:val="51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r>
      <w:tr>
        <w:trPr>
          <w:trHeight w:val="203"/>
        </w:trPr>
        <w:tc>
          <w:tcPr>
            <w:tcW w:w="3020" w:type="dxa"/>
            <w:vAlign w:val="bottom"/>
          </w:tcPr>
          <w:p>
            <w:pPr>
              <w:jc w:val="right"/>
              <w:ind w:right="2228"/>
              <w:spacing w:after="0"/>
              <w:rPr>
                <w:sz w:val="20"/>
                <w:szCs w:val="20"/>
                <w:color w:val="auto"/>
              </w:rPr>
            </w:pPr>
            <w:r>
              <w:rPr>
                <w:rFonts w:ascii="Arial" w:cs="Arial" w:eastAsia="Arial" w:hAnsi="Arial"/>
                <w:sz w:val="14"/>
                <w:szCs w:val="14"/>
                <w:color w:val="auto"/>
              </w:rPr>
              <w:t>(15)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28"/>
              <w:spacing w:after="0"/>
              <w:rPr>
                <w:sz w:val="20"/>
                <w:szCs w:val="20"/>
                <w:color w:val="auto"/>
              </w:rPr>
            </w:pPr>
            <w:r>
              <w:rPr>
                <w:rFonts w:ascii="Arial" w:cs="Arial" w:eastAsia="Arial" w:hAnsi="Arial"/>
                <w:sz w:val="14"/>
                <w:szCs w:val="14"/>
                <w:color w:val="auto"/>
              </w:rPr>
              <w:t>(9)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shd w:val="clear" w:color="auto" w:fill="CCEEFF"/>
          </w:tcPr>
          <w:p>
            <w:pPr>
              <w:spacing w:after="0"/>
              <w:rPr>
                <w:sz w:val="17"/>
                <w:szCs w:val="17"/>
                <w:color w:val="auto"/>
              </w:rPr>
            </w:pPr>
          </w:p>
        </w:tc>
      </w:tr>
      <w:tr>
        <w:trPr>
          <w:trHeight w:val="20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3020" w:type="dxa"/>
            <w:vAlign w:val="bottom"/>
          </w:tcPr>
          <w:p>
            <w:pPr>
              <w:jc w:val="right"/>
              <w:ind w:right="2228"/>
              <w:spacing w:after="0"/>
              <w:rPr>
                <w:sz w:val="20"/>
                <w:szCs w:val="20"/>
                <w:color w:val="auto"/>
              </w:rPr>
            </w:pPr>
            <w:r>
              <w:rPr>
                <w:rFonts w:ascii="Arial" w:cs="Arial" w:eastAsia="Arial" w:hAnsi="Arial"/>
                <w:sz w:val="14"/>
                <w:szCs w:val="14"/>
                <w:color w:val="auto"/>
              </w:rPr>
              <w:t>(24)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6"/>
                <w:szCs w:val="16"/>
                <w:color w:val="auto"/>
              </w:rPr>
            </w:pPr>
          </w:p>
        </w:tc>
      </w:tr>
      <w:tr>
        <w:trPr>
          <w:trHeight w:val="207"/>
        </w:trPr>
        <w:tc>
          <w:tcPr>
            <w:tcW w:w="3020" w:type="dxa"/>
            <w:vAlign w:val="bottom"/>
            <w:tcBorders>
              <w:bottom w:val="single" w:sz="8" w:color="auto"/>
            </w:tcBorders>
          </w:tcPr>
          <w:p>
            <w:pPr>
              <w:jc w:val="right"/>
              <w:ind w:right="2228"/>
              <w:spacing w:after="0"/>
              <w:rPr>
                <w:sz w:val="20"/>
                <w:szCs w:val="20"/>
                <w:color w:val="auto"/>
              </w:rPr>
            </w:pPr>
            <w:r>
              <w:rPr>
                <w:rFonts w:ascii="Arial" w:cs="Arial" w:eastAsia="Arial" w:hAnsi="Arial"/>
                <w:sz w:val="14"/>
                <w:szCs w:val="14"/>
                <w:color w:val="auto"/>
              </w:rPr>
              <w:t>(5)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shd w:val="clear" w:color="auto" w:fill="CCEEFF"/>
          </w:tcPr>
          <w:p>
            <w:pPr>
              <w:spacing w:after="0"/>
              <w:rPr>
                <w:sz w:val="17"/>
                <w:szCs w:val="17"/>
                <w:color w:val="auto"/>
              </w:rPr>
            </w:pPr>
          </w:p>
        </w:tc>
      </w:tr>
      <w:tr>
        <w:trPr>
          <w:trHeight w:val="240"/>
        </w:trPr>
        <w:tc>
          <w:tcPr>
            <w:tcW w:w="3020" w:type="dxa"/>
            <w:vAlign w:val="bottom"/>
            <w:tcBorders>
              <w:bottom w:val="single" w:sz="8" w:color="auto"/>
            </w:tcBorders>
          </w:tcPr>
          <w:p>
            <w:pPr>
              <w:jc w:val="right"/>
              <w:ind w:right="2228"/>
              <w:spacing w:after="0"/>
              <w:rPr>
                <w:sz w:val="20"/>
                <w:szCs w:val="20"/>
                <w:color w:val="auto"/>
              </w:rPr>
            </w:pPr>
            <w:r>
              <w:rPr>
                <w:rFonts w:ascii="Arial" w:cs="Arial" w:eastAsia="Arial" w:hAnsi="Arial"/>
                <w:sz w:val="14"/>
                <w:szCs w:val="14"/>
                <w:color w:val="auto"/>
              </w:rPr>
              <w:t>(19)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tcBorders>
              <w:bottom w:val="single" w:sz="8" w:color="auto"/>
            </w:tcBorders>
            <w:shd w:val="clear" w:color="auto" w:fill="CCEEFF"/>
          </w:tcPr>
          <w:p>
            <w:pPr>
              <w:spacing w:after="0"/>
              <w:rPr>
                <w:sz w:val="20"/>
                <w:szCs w:val="20"/>
                <w:color w:val="auto"/>
              </w:rPr>
            </w:pPr>
          </w:p>
        </w:tc>
      </w:tr>
      <w:tr>
        <w:trPr>
          <w:trHeight w:val="318"/>
        </w:trPr>
        <w:tc>
          <w:tcPr>
            <w:tcW w:w="3020" w:type="dxa"/>
            <w:vAlign w:val="bottom"/>
          </w:tcPr>
          <w:p>
            <w:pPr>
              <w:jc w:val="right"/>
              <w:ind w:right="2228"/>
              <w:spacing w:after="0"/>
              <w:rPr>
                <w:sz w:val="20"/>
                <w:szCs w:val="20"/>
                <w:color w:val="auto"/>
              </w:rPr>
            </w:pPr>
            <w:r>
              <w:rPr>
                <w:rFonts w:ascii="Arial" w:cs="Arial" w:eastAsia="Arial" w:hAnsi="Arial"/>
                <w:sz w:val="14"/>
                <w:szCs w:val="14"/>
                <w:color w:val="auto"/>
              </w:rPr>
              <w:t>(141)</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(141)</w:t>
            </w:r>
          </w:p>
        </w:tc>
      </w:tr>
    </w:tbl>
    <w:p>
      <w:pPr>
        <w:spacing w:after="0" w:line="29" w:lineRule="exact"/>
        <w:rPr>
          <w:sz w:val="20"/>
          <w:szCs w:val="20"/>
          <w:color w:val="auto"/>
        </w:rPr>
      </w:pPr>
    </w:p>
    <w:p>
      <w:pPr>
        <w:sectPr>
          <w:pgSz w:w="11900" w:h="16838" w:orient="portrait"/>
          <w:cols w:equalWidth="0" w:num="2">
            <w:col w:w="7380" w:space="80"/>
            <w:col w:w="3780"/>
          </w:cols>
          <w:pgMar w:left="320" w:top="1143" w:right="339" w:bottom="1440" w:gutter="0" w:footer="0" w:header="0"/>
        </w:sectPr>
      </w:pPr>
    </w:p>
    <w:p>
      <w:pPr>
        <w:ind w:left="20"/>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Related to our Surmont acquisition.</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Interest rate hedging gain (loss) from PALNG Phase 1 investment.</w:t>
      </w:r>
    </w:p>
    <w:p>
      <w:pPr>
        <w:sectPr>
          <w:pgSz w:w="11900" w:h="16838" w:orient="portrait"/>
          <w:cols w:equalWidth="0" w:num="1">
            <w:col w:w="11240"/>
          </w:cols>
          <w:pgMar w:left="320" w:top="1143" w:right="339" w:bottom="1440" w:gutter="0" w:footer="0" w:header="0"/>
          <w:type w:val="continuous"/>
        </w:sectPr>
      </w:pPr>
    </w:p>
    <w:bookmarkStart w:id="13" w:name="page14"/>
    <w:bookmarkEnd w:id="13"/>
    <w:p>
      <w:pPr>
        <w:jc w:val="center"/>
        <w:ind w:left="36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23495</wp:posOffset>
            </wp:positionV>
            <wp:extent cx="2400300" cy="745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300" cy="745490"/>
                    </a:xfrm>
                    <a:prstGeom prst="rect">
                      <a:avLst/>
                    </a:prstGeom>
                    <a:noFill/>
                  </pic:spPr>
                </pic:pic>
              </a:graphicData>
            </a:graphic>
          </wp:anchor>
        </w:drawing>
      </w:r>
    </w:p>
    <w:p>
      <w:pPr>
        <w:spacing w:after="0" w:line="35" w:lineRule="exact"/>
        <w:rPr>
          <w:sz w:val="20"/>
          <w:szCs w:val="20"/>
          <w:color w:val="auto"/>
        </w:rPr>
      </w:pPr>
    </w:p>
    <w:p>
      <w:pPr>
        <w:jc w:val="center"/>
        <w:ind w:left="3740"/>
        <w:spacing w:after="0"/>
        <w:tabs>
          <w:tab w:leader="none" w:pos="260" w:val="left"/>
          <w:tab w:leader="none" w:pos="240" w:val="left"/>
          <w:tab w:leader="none" w:pos="260" w:val="left"/>
          <w:tab w:leader="none" w:pos="200" w:val="left"/>
        </w:tabs>
        <w:rPr>
          <w:sz w:val="20"/>
          <w:szCs w:val="20"/>
          <w:color w:val="auto"/>
        </w:rPr>
      </w:pPr>
      <w:r>
        <w:rPr>
          <w:rFonts w:ascii="Arial" w:cs="Arial" w:eastAsia="Arial" w:hAnsi="Arial"/>
          <w:sz w:val="14"/>
          <w:szCs w:val="14"/>
          <w:b w:val="1"/>
          <w:bCs w:val="1"/>
          <w:color w:val="auto"/>
        </w:rPr>
        <w:t>1st Qtr</w:t>
      </w:r>
      <w:r>
        <w:rPr>
          <w:sz w:val="20"/>
          <w:szCs w:val="20"/>
          <w:color w:val="auto"/>
        </w:rPr>
        <w:tab/>
      </w:r>
      <w:r>
        <w:rPr>
          <w:rFonts w:ascii="Arial" w:cs="Arial" w:eastAsia="Arial" w:hAnsi="Arial"/>
          <w:sz w:val="14"/>
          <w:szCs w:val="14"/>
          <w:b w:val="1"/>
          <w:bCs w:val="1"/>
          <w:color w:val="auto"/>
        </w:rPr>
        <w:t>2nd Qtr</w:t>
      </w:r>
      <w:r>
        <w:rPr>
          <w:sz w:val="20"/>
          <w:szCs w:val="20"/>
          <w:color w:val="auto"/>
        </w:rPr>
        <w:tab/>
      </w:r>
      <w:r>
        <w:rPr>
          <w:rFonts w:ascii="Arial" w:cs="Arial" w:eastAsia="Arial" w:hAnsi="Arial"/>
          <w:sz w:val="14"/>
          <w:szCs w:val="14"/>
          <w:b w:val="1"/>
          <w:bCs w:val="1"/>
          <w:color w:val="auto"/>
        </w:rPr>
        <w:t>3rd Qtr</w:t>
      </w:r>
      <w:r>
        <w:rPr>
          <w:sz w:val="20"/>
          <w:szCs w:val="20"/>
          <w:color w:val="auto"/>
        </w:rPr>
        <w:tab/>
      </w:r>
      <w:r>
        <w:rPr>
          <w:rFonts w:ascii="Arial" w:cs="Arial" w:eastAsia="Arial" w:hAnsi="Arial"/>
          <w:sz w:val="14"/>
          <w:szCs w:val="14"/>
          <w:b w:val="1"/>
          <w:bCs w:val="1"/>
          <w:color w:val="auto"/>
        </w:rPr>
        <w:t>4th Qtr</w:t>
        <w:tab/>
        <w:t>Full Year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400300" cy="745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0" cy="74549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1st Qtr    2nd Qtr   3rd Qtr    4th Qtr</w:t>
            </w:r>
          </w:p>
        </w:tc>
        <w:tc>
          <w:tcPr>
            <w:tcW w:w="7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YTD</w:t>
            </w:r>
          </w:p>
        </w:tc>
      </w:tr>
    </w:tbl>
    <w:p>
      <w:pPr>
        <w:spacing w:after="0" w:line="6" w:lineRule="exact"/>
        <w:rPr>
          <w:sz w:val="20"/>
          <w:szCs w:val="20"/>
          <w:color w:val="auto"/>
        </w:rPr>
      </w:pPr>
    </w:p>
    <w:p>
      <w:pPr>
        <w:sectPr>
          <w:pgSz w:w="11900" w:h="16838" w:orient="portrait"/>
          <w:cols w:equalWidth="0" w:num="2">
            <w:col w:w="7300" w:space="160"/>
            <w:col w:w="3780"/>
          </w:cols>
          <w:pgMar w:left="320" w:top="1143" w:right="339" w:bottom="1440" w:gutter="0" w:footer="0" w:header="0"/>
        </w:sectPr>
      </w:pPr>
    </w:p>
    <w:p>
      <w:pPr>
        <w:ind w:left="20"/>
        <w:spacing w:after="0"/>
        <w:rPr>
          <w:sz w:val="20"/>
          <w:szCs w:val="20"/>
          <w:color w:val="auto"/>
        </w:rPr>
      </w:pPr>
      <w:r>
        <w:rPr>
          <w:rFonts w:ascii="Arial" w:cs="Arial" w:eastAsia="Arial" w:hAnsi="Arial"/>
          <w:sz w:val="14"/>
          <w:szCs w:val="14"/>
          <w:color w:val="auto"/>
        </w:rPr>
        <w:t>$ Millions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00FF"/>
        </w:rPr>
        <w:t>CONSOLIDATED BALANCE SHEET</w:t>
      </w:r>
    </w:p>
    <w:p>
      <w:pPr>
        <w:sectPr>
          <w:pgSz w:w="11900" w:h="16838" w:orient="portrait"/>
          <w:cols w:equalWidth="0" w:num="1">
            <w:col w:w="11240"/>
          </w:cols>
          <w:pgMar w:left="320" w:top="1143" w:right="339" w:bottom="1440" w:gutter="0" w:footer="0" w:header="0"/>
          <w:type w:val="continuous"/>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6,309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4,901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5,260</w:t>
            </w:r>
          </w:p>
        </w:tc>
        <w:tc>
          <w:tcPr>
            <w:tcW w:w="700" w:type="dxa"/>
            <w:vAlign w:val="bottom"/>
          </w:tcPr>
          <w:p>
            <w:pPr>
              <w:jc w:val="right"/>
              <w:spacing w:after="0"/>
              <w:rPr>
                <w:sz w:val="20"/>
                <w:szCs w:val="20"/>
                <w:color w:val="auto"/>
              </w:rPr>
            </w:pPr>
            <w:r>
              <w:rPr>
                <w:rFonts w:ascii="Arial" w:cs="Arial" w:eastAsia="Arial" w:hAnsi="Arial"/>
                <w:sz w:val="14"/>
                <w:szCs w:val="14"/>
                <w:color w:val="auto"/>
              </w:rPr>
              <w:t>6,497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00"/>
              <w:spacing w:after="0"/>
              <w:rPr>
                <w:sz w:val="20"/>
                <w:szCs w:val="20"/>
                <w:color w:val="auto"/>
              </w:rPr>
            </w:pPr>
            <w:r>
              <w:rPr>
                <w:rFonts w:ascii="Arial" w:cs="Arial" w:eastAsia="Arial" w:hAnsi="Arial"/>
                <w:sz w:val="14"/>
                <w:szCs w:val="14"/>
                <w:color w:val="auto"/>
              </w:rPr>
              <w:t>Short-term investments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926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439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996</w:t>
            </w:r>
          </w:p>
        </w:tc>
        <w:tc>
          <w:tcPr>
            <w:tcW w:w="700" w:type="dxa"/>
            <w:vAlign w:val="bottom"/>
          </w:tcPr>
          <w:p>
            <w:pPr>
              <w:jc w:val="right"/>
              <w:spacing w:after="0"/>
              <w:rPr>
                <w:sz w:val="20"/>
                <w:szCs w:val="20"/>
                <w:color w:val="auto"/>
              </w:rPr>
            </w:pPr>
            <w:r>
              <w:rPr>
                <w:rFonts w:ascii="Arial" w:cs="Arial" w:eastAsia="Arial" w:hAnsi="Arial"/>
                <w:sz w:val="14"/>
                <w:szCs w:val="14"/>
                <w:color w:val="auto"/>
              </w:rPr>
              <w:t>484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00"/>
              <w:spacing w:after="0"/>
              <w:rPr>
                <w:sz w:val="20"/>
                <w:szCs w:val="20"/>
                <w:color w:val="auto"/>
              </w:rPr>
            </w:pPr>
            <w:r>
              <w:rPr>
                <w:rFonts w:ascii="Arial" w:cs="Arial" w:eastAsia="Arial" w:hAnsi="Arial"/>
                <w:sz w:val="14"/>
                <w:szCs w:val="14"/>
                <w:color w:val="auto"/>
              </w:rPr>
              <w:t>Accounts and notes receivable</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6,400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5,701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5,744</w:t>
            </w:r>
          </w:p>
        </w:tc>
        <w:tc>
          <w:tcPr>
            <w:tcW w:w="700" w:type="dxa"/>
            <w:vAlign w:val="bottom"/>
          </w:tcPr>
          <w:p>
            <w:pPr>
              <w:jc w:val="right"/>
              <w:spacing w:after="0"/>
              <w:rPr>
                <w:sz w:val="20"/>
                <w:szCs w:val="20"/>
                <w:color w:val="auto"/>
              </w:rPr>
            </w:pPr>
            <w:r>
              <w:rPr>
                <w:rFonts w:ascii="Arial" w:cs="Arial" w:eastAsia="Arial" w:hAnsi="Arial"/>
                <w:sz w:val="14"/>
                <w:szCs w:val="14"/>
                <w:color w:val="auto"/>
              </w:rPr>
              <w:t>5,813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00"/>
              <w:spacing w:after="0"/>
              <w:rPr>
                <w:sz w:val="20"/>
                <w:szCs w:val="20"/>
                <w:color w:val="auto"/>
              </w:rPr>
            </w:pPr>
            <w:r>
              <w:rPr>
                <w:rFonts w:ascii="Arial" w:cs="Arial" w:eastAsia="Arial" w:hAnsi="Arial"/>
                <w:sz w:val="14"/>
                <w:szCs w:val="14"/>
                <w:color w:val="auto"/>
              </w:rPr>
              <w:t>Inventories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1,844</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1,897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1,721</w:t>
            </w:r>
          </w:p>
        </w:tc>
        <w:tc>
          <w:tcPr>
            <w:tcW w:w="700" w:type="dxa"/>
            <w:vAlign w:val="bottom"/>
          </w:tcPr>
          <w:p>
            <w:pPr>
              <w:jc w:val="right"/>
              <w:spacing w:after="0"/>
              <w:rPr>
                <w:sz w:val="20"/>
                <w:szCs w:val="20"/>
                <w:color w:val="auto"/>
              </w:rPr>
            </w:pPr>
            <w:r>
              <w:rPr>
                <w:rFonts w:ascii="Arial" w:cs="Arial" w:eastAsia="Arial" w:hAnsi="Arial"/>
                <w:sz w:val="14"/>
                <w:szCs w:val="14"/>
                <w:color w:val="auto"/>
              </w:rPr>
              <w:t>1,873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1,427</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1,001</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00" w:type="dxa"/>
            <w:vAlign w:val="bottom"/>
          </w:tcPr>
          <w:p>
            <w:pPr>
              <w:ind w:left="300"/>
              <w:spacing w:after="0"/>
              <w:rPr>
                <w:sz w:val="20"/>
                <w:szCs w:val="20"/>
                <w:color w:val="auto"/>
              </w:rPr>
            </w:pPr>
            <w:r>
              <w:rPr>
                <w:rFonts w:ascii="Arial" w:cs="Arial" w:eastAsia="Arial" w:hAnsi="Arial"/>
                <w:sz w:val="14"/>
                <w:szCs w:val="14"/>
                <w:color w:val="auto"/>
              </w:rPr>
              <w:t>Total current assets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16,906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13,939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15,884</w:t>
            </w:r>
          </w:p>
        </w:tc>
        <w:tc>
          <w:tcPr>
            <w:tcW w:w="700" w:type="dxa"/>
            <w:vAlign w:val="bottom"/>
          </w:tcPr>
          <w:p>
            <w:pPr>
              <w:jc w:val="right"/>
              <w:spacing w:after="0"/>
              <w:rPr>
                <w:sz w:val="20"/>
                <w:szCs w:val="20"/>
                <w:color w:val="auto"/>
              </w:rPr>
            </w:pPr>
            <w:r>
              <w:rPr>
                <w:rFonts w:ascii="Arial" w:cs="Arial" w:eastAsia="Arial" w:hAnsi="Arial"/>
                <w:sz w:val="14"/>
                <w:szCs w:val="14"/>
                <w:color w:val="auto"/>
              </w:rPr>
              <w:t>15,532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00"/>
              <w:spacing w:after="0"/>
              <w:rPr>
                <w:sz w:val="20"/>
                <w:szCs w:val="20"/>
                <w:color w:val="auto"/>
              </w:rPr>
            </w:pPr>
            <w:r>
              <w:rPr>
                <w:rFonts w:ascii="Arial" w:cs="Arial" w:eastAsia="Arial" w:hAnsi="Arial"/>
                <w:sz w:val="14"/>
                <w:szCs w:val="14"/>
                <w:color w:val="auto"/>
              </w:rPr>
              <w:t>Investments and long-term receivables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10,008</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10,361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10,074</w:t>
            </w:r>
          </w:p>
        </w:tc>
        <w:tc>
          <w:tcPr>
            <w:tcW w:w="700" w:type="dxa"/>
            <w:vAlign w:val="bottom"/>
          </w:tcPr>
          <w:p>
            <w:pPr>
              <w:jc w:val="right"/>
              <w:spacing w:after="0"/>
              <w:rPr>
                <w:sz w:val="20"/>
                <w:szCs w:val="20"/>
                <w:color w:val="auto"/>
              </w:rPr>
            </w:pPr>
            <w:r>
              <w:rPr>
                <w:rFonts w:ascii="Arial" w:cs="Arial" w:eastAsia="Arial" w:hAnsi="Arial"/>
                <w:sz w:val="14"/>
                <w:szCs w:val="14"/>
                <w:color w:val="auto"/>
              </w:rPr>
              <w:t>10,185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00"/>
              <w:spacing w:after="0"/>
              <w:rPr>
                <w:sz w:val="20"/>
                <w:szCs w:val="20"/>
                <w:color w:val="auto"/>
              </w:rPr>
            </w:pPr>
            <w:r>
              <w:rPr>
                <w:rFonts w:ascii="Arial" w:cs="Arial" w:eastAsia="Arial" w:hAnsi="Arial"/>
                <w:sz w:val="14"/>
                <w:szCs w:val="14"/>
                <w:color w:val="auto"/>
              </w:rPr>
              <w:t>Net properties, plants and equipment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94,316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95,242</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93,498</w:t>
            </w:r>
          </w:p>
        </w:tc>
        <w:tc>
          <w:tcPr>
            <w:tcW w:w="700" w:type="dxa"/>
            <w:vAlign w:val="bottom"/>
          </w:tcPr>
          <w:p>
            <w:pPr>
              <w:jc w:val="right"/>
              <w:spacing w:after="0"/>
              <w:rPr>
                <w:sz w:val="20"/>
                <w:szCs w:val="20"/>
                <w:color w:val="auto"/>
              </w:rPr>
            </w:pPr>
            <w:r>
              <w:rPr>
                <w:rFonts w:ascii="Arial" w:cs="Arial" w:eastAsia="Arial" w:hAnsi="Arial"/>
                <w:sz w:val="14"/>
                <w:szCs w:val="14"/>
                <w:color w:val="auto"/>
              </w:rPr>
              <w:t>93,239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93,239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assets</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3,024</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3,057</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2,983</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assets</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124,254</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122,599</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122,472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121,939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121,939</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30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7,349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6,517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6,245</w:t>
            </w:r>
          </w:p>
        </w:tc>
        <w:tc>
          <w:tcPr>
            <w:tcW w:w="700" w:type="dxa"/>
            <w:vAlign w:val="bottom"/>
          </w:tcPr>
          <w:p>
            <w:pPr>
              <w:jc w:val="right"/>
              <w:spacing w:after="0"/>
              <w:rPr>
                <w:sz w:val="20"/>
                <w:szCs w:val="20"/>
                <w:color w:val="auto"/>
              </w:rPr>
            </w:pPr>
            <w:r>
              <w:rPr>
                <w:rFonts w:ascii="Arial" w:cs="Arial" w:eastAsia="Arial" w:hAnsi="Arial"/>
                <w:sz w:val="14"/>
                <w:szCs w:val="14"/>
                <w:color w:val="auto"/>
              </w:rPr>
              <w:t>6,218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00"/>
              <w:spacing w:after="0"/>
              <w:rPr>
                <w:sz w:val="20"/>
                <w:szCs w:val="20"/>
                <w:color w:val="auto"/>
              </w:rPr>
            </w:pPr>
            <w:r>
              <w:rPr>
                <w:rFonts w:ascii="Arial" w:cs="Arial" w:eastAsia="Arial" w:hAnsi="Arial"/>
                <w:sz w:val="14"/>
                <w:szCs w:val="14"/>
                <w:color w:val="auto"/>
              </w:rPr>
              <w:t>Short-term debt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608</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414</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1,016</w:t>
            </w:r>
          </w:p>
        </w:tc>
        <w:tc>
          <w:tcPr>
            <w:tcW w:w="700" w:type="dxa"/>
            <w:vAlign w:val="bottom"/>
          </w:tcPr>
          <w:p>
            <w:pPr>
              <w:jc w:val="right"/>
              <w:spacing w:after="0"/>
              <w:rPr>
                <w:sz w:val="20"/>
                <w:szCs w:val="20"/>
                <w:color w:val="auto"/>
              </w:rPr>
            </w:pPr>
            <w:r>
              <w:rPr>
                <w:rFonts w:ascii="Arial" w:cs="Arial" w:eastAsia="Arial" w:hAnsi="Arial"/>
                <w:sz w:val="14"/>
                <w:szCs w:val="14"/>
                <w:color w:val="auto"/>
              </w:rPr>
              <w:t>1,020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00"/>
              <w:spacing w:after="0"/>
              <w:rPr>
                <w:sz w:val="20"/>
                <w:szCs w:val="20"/>
                <w:color w:val="auto"/>
              </w:rPr>
            </w:pPr>
            <w:r>
              <w:rPr>
                <w:rFonts w:ascii="Arial" w:cs="Arial" w:eastAsia="Arial" w:hAnsi="Arial"/>
                <w:sz w:val="14"/>
                <w:szCs w:val="14"/>
                <w:color w:val="auto"/>
              </w:rPr>
              <w:t>Accrued income and other taxes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2,919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1,742</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1,939</w:t>
            </w:r>
          </w:p>
        </w:tc>
        <w:tc>
          <w:tcPr>
            <w:tcW w:w="700" w:type="dxa"/>
            <w:vAlign w:val="bottom"/>
          </w:tcPr>
          <w:p>
            <w:pPr>
              <w:jc w:val="right"/>
              <w:spacing w:after="0"/>
              <w:rPr>
                <w:sz w:val="20"/>
                <w:szCs w:val="20"/>
                <w:color w:val="auto"/>
              </w:rPr>
            </w:pPr>
            <w:r>
              <w:rPr>
                <w:rFonts w:ascii="Arial" w:cs="Arial" w:eastAsia="Arial" w:hAnsi="Arial"/>
                <w:sz w:val="14"/>
                <w:szCs w:val="14"/>
                <w:color w:val="auto"/>
              </w:rPr>
              <w:t>1,835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00"/>
              <w:spacing w:after="0"/>
              <w:rPr>
                <w:sz w:val="20"/>
                <w:szCs w:val="20"/>
                <w:color w:val="auto"/>
              </w:rPr>
            </w:pPr>
            <w:r>
              <w:rPr>
                <w:rFonts w:ascii="Arial" w:cs="Arial" w:eastAsia="Arial" w:hAnsi="Arial"/>
                <w:sz w:val="14"/>
                <w:szCs w:val="14"/>
                <w:color w:val="auto"/>
              </w:rPr>
              <w:t>Employee benefit obligations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652</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710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1,020</w:t>
            </w:r>
          </w:p>
        </w:tc>
        <w:tc>
          <w:tcPr>
            <w:tcW w:w="700" w:type="dxa"/>
            <w:vAlign w:val="bottom"/>
          </w:tcPr>
          <w:p>
            <w:pPr>
              <w:jc w:val="right"/>
              <w:spacing w:after="0"/>
              <w:rPr>
                <w:sz w:val="20"/>
                <w:szCs w:val="20"/>
                <w:color w:val="auto"/>
              </w:rPr>
            </w:pPr>
            <w:r>
              <w:rPr>
                <w:rFonts w:ascii="Arial" w:cs="Arial" w:eastAsia="Arial" w:hAnsi="Arial"/>
                <w:sz w:val="14"/>
                <w:szCs w:val="14"/>
                <w:color w:val="auto"/>
              </w:rPr>
              <w:t>1,136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accruals</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1,801</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1,603</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00" w:type="dxa"/>
            <w:vAlign w:val="bottom"/>
          </w:tcPr>
          <w:p>
            <w:pPr>
              <w:ind w:left="300"/>
              <w:spacing w:after="0"/>
              <w:rPr>
                <w:sz w:val="20"/>
                <w:szCs w:val="20"/>
                <w:color w:val="auto"/>
              </w:rPr>
            </w:pPr>
            <w:r>
              <w:rPr>
                <w:rFonts w:ascii="Arial" w:cs="Arial" w:eastAsia="Arial" w:hAnsi="Arial"/>
                <w:sz w:val="14"/>
                <w:szCs w:val="14"/>
                <w:color w:val="auto"/>
              </w:rPr>
              <w:t>Total current liabilities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13,329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10,986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12,009</w:t>
            </w:r>
          </w:p>
        </w:tc>
        <w:tc>
          <w:tcPr>
            <w:tcW w:w="700" w:type="dxa"/>
            <w:vAlign w:val="bottom"/>
          </w:tcPr>
          <w:p>
            <w:pPr>
              <w:jc w:val="right"/>
              <w:spacing w:after="0"/>
              <w:rPr>
                <w:sz w:val="20"/>
                <w:szCs w:val="20"/>
                <w:color w:val="auto"/>
              </w:rPr>
            </w:pPr>
            <w:r>
              <w:rPr>
                <w:rFonts w:ascii="Arial" w:cs="Arial" w:eastAsia="Arial" w:hAnsi="Arial"/>
                <w:sz w:val="14"/>
                <w:szCs w:val="14"/>
                <w:color w:val="auto"/>
              </w:rPr>
              <w:t>11,972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00"/>
              <w:spacing w:after="0"/>
              <w:rPr>
                <w:sz w:val="20"/>
                <w:szCs w:val="20"/>
                <w:color w:val="auto"/>
              </w:rPr>
            </w:pPr>
            <w:r>
              <w:rPr>
                <w:rFonts w:ascii="Arial" w:cs="Arial" w:eastAsia="Arial" w:hAnsi="Arial"/>
                <w:sz w:val="14"/>
                <w:szCs w:val="14"/>
                <w:color w:val="auto"/>
              </w:rPr>
              <w:t>Long-term debt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23,176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23,115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22,466</w:t>
            </w:r>
          </w:p>
        </w:tc>
        <w:tc>
          <w:tcPr>
            <w:tcW w:w="700" w:type="dxa"/>
            <w:vAlign w:val="bottom"/>
          </w:tcPr>
          <w:p>
            <w:pPr>
              <w:jc w:val="right"/>
              <w:spacing w:after="0"/>
              <w:rPr>
                <w:sz w:val="20"/>
                <w:szCs w:val="20"/>
                <w:color w:val="auto"/>
              </w:rPr>
            </w:pPr>
            <w:r>
              <w:rPr>
                <w:rFonts w:ascii="Arial" w:cs="Arial" w:eastAsia="Arial" w:hAnsi="Arial"/>
                <w:sz w:val="14"/>
                <w:szCs w:val="14"/>
                <w:color w:val="auto"/>
              </w:rPr>
              <w:t>22,424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22,424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00" w:type="dxa"/>
            <w:vAlign w:val="bottom"/>
          </w:tcPr>
          <w:p>
            <w:pPr>
              <w:ind w:left="100"/>
              <w:spacing w:after="0"/>
              <w:rPr>
                <w:sz w:val="20"/>
                <w:szCs w:val="20"/>
                <w:color w:val="auto"/>
              </w:rPr>
            </w:pPr>
            <w:r>
              <w:rPr>
                <w:rFonts w:ascii="Arial" w:cs="Arial" w:eastAsia="Arial" w:hAnsi="Arial"/>
                <w:sz w:val="14"/>
                <w:szCs w:val="14"/>
                <w:color w:val="auto"/>
              </w:rPr>
              <w:t>Asset retirement obligations and accrued</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8,146</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8,225</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8,264</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8,214</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8,214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100"/>
              <w:spacing w:after="0"/>
              <w:rPr>
                <w:sz w:val="20"/>
                <w:szCs w:val="20"/>
                <w:color w:val="auto"/>
              </w:rPr>
            </w:pPr>
            <w:r>
              <w:rPr>
                <w:rFonts w:ascii="Arial" w:cs="Arial" w:eastAsia="Arial" w:hAnsi="Arial"/>
                <w:sz w:val="14"/>
                <w:szCs w:val="14"/>
                <w:color w:val="auto"/>
              </w:rPr>
              <w:t>environmental costs</w:t>
            </w:r>
          </w:p>
        </w:tc>
        <w:tc>
          <w:tcPr>
            <w:tcW w:w="1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100"/>
              <w:spacing w:after="0"/>
              <w:rPr>
                <w:sz w:val="20"/>
                <w:szCs w:val="20"/>
                <w:color w:val="auto"/>
              </w:rPr>
            </w:pPr>
            <w:r>
              <w:rPr>
                <w:rFonts w:ascii="Arial" w:cs="Arial" w:eastAsia="Arial" w:hAnsi="Arial"/>
                <w:sz w:val="14"/>
                <w:szCs w:val="14"/>
                <w:color w:val="auto"/>
              </w:rPr>
              <w:t>Deferred income taxes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11,483</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11,766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12,109</w:t>
            </w:r>
          </w:p>
        </w:tc>
        <w:tc>
          <w:tcPr>
            <w:tcW w:w="700" w:type="dxa"/>
            <w:vAlign w:val="bottom"/>
          </w:tcPr>
          <w:p>
            <w:pPr>
              <w:jc w:val="right"/>
              <w:spacing w:after="0"/>
              <w:rPr>
                <w:sz w:val="20"/>
                <w:szCs w:val="20"/>
                <w:color w:val="auto"/>
              </w:rPr>
            </w:pPr>
            <w:r>
              <w:rPr>
                <w:rFonts w:ascii="Arial" w:cs="Arial" w:eastAsia="Arial" w:hAnsi="Arial"/>
                <w:sz w:val="14"/>
                <w:szCs w:val="14"/>
                <w:color w:val="auto"/>
              </w:rPr>
              <w:t>12,237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00"/>
              <w:spacing w:after="0"/>
              <w:rPr>
                <w:sz w:val="20"/>
                <w:szCs w:val="20"/>
                <w:color w:val="auto"/>
              </w:rPr>
            </w:pPr>
            <w:r>
              <w:rPr>
                <w:rFonts w:ascii="Arial" w:cs="Arial" w:eastAsia="Arial" w:hAnsi="Arial"/>
                <w:sz w:val="14"/>
                <w:szCs w:val="14"/>
                <w:color w:val="auto"/>
              </w:rPr>
              <w:t>Employee benefit obligations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950</w:t>
            </w:r>
          </w:p>
        </w:tc>
        <w:tc>
          <w:tcPr>
            <w:tcW w:w="700" w:type="dxa"/>
            <w:vAlign w:val="bottom"/>
          </w:tcPr>
          <w:p>
            <w:pPr>
              <w:jc w:val="right"/>
              <w:spacing w:after="0"/>
              <w:rPr>
                <w:sz w:val="20"/>
                <w:szCs w:val="20"/>
                <w:color w:val="auto"/>
              </w:rPr>
            </w:pPr>
            <w:r>
              <w:rPr>
                <w:rFonts w:ascii="Arial" w:cs="Arial" w:eastAsia="Arial" w:hAnsi="Arial"/>
                <w:sz w:val="14"/>
                <w:szCs w:val="14"/>
                <w:color w:val="auto"/>
              </w:rPr>
              <w:t>969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liabilities and deferred credits</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1,883</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1,936</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liabilities</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59,016</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57,027</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57,549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57,452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57,452</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-7620</wp:posOffset>
            </wp:positionV>
            <wp:extent cx="480060" cy="480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5,877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5,877</w:t>
            </w:r>
          </w:p>
        </w:tc>
        <w:tc>
          <w:tcPr>
            <w:tcW w:w="20" w:type="dxa"/>
            <w:vAlign w:val="bottom"/>
          </w:tcPr>
          <w:p>
            <w:pPr>
              <w:spacing w:after="0"/>
              <w:rPr>
                <w:sz w:val="17"/>
                <w:szCs w:val="17"/>
                <w:color w:val="auto"/>
              </w:rPr>
            </w:pPr>
          </w:p>
        </w:tc>
      </w:tr>
      <w:tr>
        <w:trPr>
          <w:trHeight w:val="195"/>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486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20" w:type="dxa"/>
            <w:vAlign w:val="bottom"/>
            <w:shd w:val="clear" w:color="auto" w:fill="CCEEFF"/>
          </w:tcPr>
          <w:p>
            <w:pPr>
              <w:spacing w:after="0"/>
              <w:rPr>
                <w:sz w:val="16"/>
                <w:szCs w:val="16"/>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7,050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7,050</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1,910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w:t>
            </w:r>
          </w:p>
        </w:tc>
        <w:tc>
          <w:tcPr>
            <w:tcW w:w="20" w:type="dxa"/>
            <w:vAlign w:val="bottom"/>
            <w:shd w:val="clear" w:color="auto" w:fill="CCEEFF"/>
          </w:tcPr>
          <w:p>
            <w:pPr>
              <w:spacing w:after="0"/>
              <w:rPr>
                <w:sz w:val="17"/>
                <w:szCs w:val="17"/>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906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16,229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16,229</w:t>
            </w:r>
          </w:p>
        </w:tc>
        <w:tc>
          <w:tcPr>
            <w:tcW w:w="20" w:type="dxa"/>
            <w:vAlign w:val="bottom"/>
            <w:shd w:val="clear" w:color="auto" w:fill="CCEEFF"/>
          </w:tcPr>
          <w:p>
            <w:pPr>
              <w:spacing w:after="0"/>
              <w:rPr>
                <w:sz w:val="16"/>
                <w:szCs w:val="16"/>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10,320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10,320</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93,141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93,141</w:t>
            </w:r>
          </w:p>
        </w:tc>
        <w:tc>
          <w:tcPr>
            <w:tcW w:w="20" w:type="dxa"/>
            <w:vAlign w:val="bottom"/>
            <w:shd w:val="clear" w:color="auto" w:fill="CCEEFF"/>
          </w:tcPr>
          <w:p>
            <w:pPr>
              <w:spacing w:after="0"/>
              <w:rPr>
                <w:sz w:val="17"/>
                <w:szCs w:val="17"/>
                <w:color w:val="auto"/>
              </w:rPr>
            </w:pPr>
          </w:p>
        </w:tc>
      </w:tr>
      <w:tr>
        <w:trPr>
          <w:trHeight w:val="20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3,035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3,035</w:t>
            </w:r>
          </w:p>
        </w:tc>
        <w:tc>
          <w:tcPr>
            <w:tcW w:w="20" w:type="dxa"/>
            <w:vAlign w:val="bottom"/>
            <w:tcBorders>
              <w:bottom w:val="single" w:sz="8" w:color="auto"/>
            </w:tcBorders>
            <w:shd w:val="clear" w:color="auto" w:fill="CCEEFF"/>
          </w:tcPr>
          <w:p>
            <w:pPr>
              <w:spacing w:after="0"/>
              <w:rPr>
                <w:sz w:val="17"/>
                <w:szCs w:val="17"/>
                <w:color w:val="auto"/>
              </w:rPr>
            </w:pPr>
          </w:p>
        </w:tc>
      </w:tr>
      <w:tr>
        <w:trPr>
          <w:trHeight w:val="241"/>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122,725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122,725</w:t>
            </w:r>
          </w:p>
        </w:tc>
        <w:tc>
          <w:tcPr>
            <w:tcW w:w="20" w:type="dxa"/>
            <w:vAlign w:val="bottom"/>
            <w:tcBorders>
              <w:bottom w:val="single" w:sz="8" w:color="auto"/>
            </w:tcBorders>
            <w:shd w:val="clear" w:color="auto" w:fill="CCEEFF"/>
          </w:tcPr>
          <w:p>
            <w:pPr>
              <w:spacing w:after="0"/>
              <w:rPr>
                <w:sz w:val="20"/>
                <w:szCs w:val="20"/>
                <w:color w:val="auto"/>
              </w:rPr>
            </w:pPr>
          </w:p>
        </w:tc>
      </w:tr>
      <w:tr>
        <w:trPr>
          <w:trHeight w:val="51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7,017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7,017</w:t>
            </w:r>
          </w:p>
        </w:tc>
        <w:tc>
          <w:tcPr>
            <w:tcW w:w="20" w:type="dxa"/>
            <w:vAlign w:val="bottom"/>
            <w:shd w:val="clear" w:color="auto" w:fill="CCEEFF"/>
          </w:tcPr>
          <w:p>
            <w:pPr>
              <w:spacing w:after="0"/>
              <w:rPr>
                <w:sz w:val="24"/>
                <w:szCs w:val="24"/>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1,065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2,129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505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20" w:type="dxa"/>
            <w:vAlign w:val="bottom"/>
            <w:shd w:val="clear" w:color="auto" w:fill="CCEEFF"/>
          </w:tcPr>
          <w:p>
            <w:pPr>
              <w:spacing w:after="0"/>
              <w:rPr>
                <w:sz w:val="17"/>
                <w:szCs w:val="17"/>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1,870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12,586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12,586</w:t>
            </w:r>
          </w:p>
        </w:tc>
        <w:tc>
          <w:tcPr>
            <w:tcW w:w="20" w:type="dxa"/>
            <w:vAlign w:val="bottom"/>
            <w:shd w:val="clear" w:color="auto" w:fill="CCEEFF"/>
          </w:tcPr>
          <w:p>
            <w:pPr>
              <w:spacing w:after="0"/>
              <w:rPr>
                <w:sz w:val="16"/>
                <w:szCs w:val="16"/>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22,262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22,262</w:t>
            </w:r>
          </w:p>
        </w:tc>
        <w:tc>
          <w:tcPr>
            <w:tcW w:w="20" w:type="dxa"/>
            <w:vAlign w:val="bottom"/>
            <w:shd w:val="clear" w:color="auto" w:fill="CCEEFF"/>
          </w:tcPr>
          <w:p>
            <w:pPr>
              <w:spacing w:after="0"/>
              <w:rPr>
                <w:sz w:val="17"/>
                <w:szCs w:val="17"/>
                <w:color w:val="auto"/>
              </w:rPr>
            </w:pPr>
          </w:p>
        </w:tc>
      </w:tr>
      <w:tr>
        <w:trPr>
          <w:trHeight w:val="337"/>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8,366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8,366</w:t>
            </w:r>
          </w:p>
        </w:tc>
        <w:tc>
          <w:tcPr>
            <w:tcW w:w="20" w:type="dxa"/>
            <w:vAlign w:val="bottom"/>
            <w:shd w:val="clear" w:color="auto" w:fill="CCEEFF"/>
          </w:tcPr>
          <w:p>
            <w:pPr>
              <w:spacing w:after="0"/>
              <w:rPr>
                <w:sz w:val="24"/>
                <w:szCs w:val="24"/>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12,389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12,389</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944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w:t>
            </w:r>
          </w:p>
        </w:tc>
        <w:tc>
          <w:tcPr>
            <w:tcW w:w="20" w:type="dxa"/>
            <w:vAlign w:val="bottom"/>
            <w:shd w:val="clear" w:color="auto" w:fill="CCEEFF"/>
          </w:tcPr>
          <w:p>
            <w:pPr>
              <w:spacing w:after="0"/>
              <w:rPr>
                <w:sz w:val="17"/>
                <w:szCs w:val="17"/>
                <w:color w:val="auto"/>
              </w:rPr>
            </w:pPr>
          </w:p>
        </w:tc>
      </w:tr>
      <w:tr>
        <w:trPr>
          <w:trHeight w:val="20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1,637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1,637</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58,184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58,184</w:t>
            </w:r>
          </w:p>
        </w:tc>
        <w:tc>
          <w:tcPr>
            <w:tcW w:w="20" w:type="dxa"/>
            <w:vAlign w:val="bottom"/>
            <w:tcBorders>
              <w:bottom w:val="single" w:sz="8" w:color="auto"/>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-7620</wp:posOffset>
            </wp:positionV>
            <wp:extent cx="480060" cy="480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480" w:type="dxa"/>
            <w:vAlign w:val="bottom"/>
          </w:tcPr>
          <w:p>
            <w:pPr>
              <w:ind w:left="100"/>
              <w:spacing w:after="0"/>
              <w:rPr>
                <w:sz w:val="20"/>
                <w:szCs w:val="20"/>
                <w:color w:val="auto"/>
              </w:rPr>
            </w:pPr>
            <w:r>
              <w:rPr>
                <w:rFonts w:ascii="Arial" w:cs="Arial" w:eastAsia="Arial" w:hAnsi="Arial"/>
                <w:sz w:val="14"/>
                <w:szCs w:val="14"/>
                <w:color w:val="auto"/>
              </w:rPr>
              <w:t>Common stock issued</w:t>
            </w: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80" w:type="dxa"/>
            <w:vAlign w:val="bottom"/>
          </w:tcPr>
          <w:p>
            <w:pPr>
              <w:ind w:left="180"/>
              <w:spacing w:after="0"/>
              <w:rPr>
                <w:sz w:val="20"/>
                <w:szCs w:val="20"/>
                <w:color w:val="auto"/>
              </w:rPr>
            </w:pPr>
            <w:r>
              <w:rPr>
                <w:rFonts w:ascii="Arial" w:cs="Arial" w:eastAsia="Arial" w:hAnsi="Arial"/>
                <w:sz w:val="14"/>
                <w:szCs w:val="14"/>
                <w:color w:val="auto"/>
              </w:rPr>
              <w:t>Par value</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3120" w:type="dxa"/>
            <w:vAlign w:val="bottom"/>
            <w:gridSpan w:val="2"/>
          </w:tcPr>
          <w:p>
            <w:pPr>
              <w:jc w:val="right"/>
              <w:ind w:right="2268"/>
              <w:spacing w:after="0"/>
              <w:rPr>
                <w:sz w:val="20"/>
                <w:szCs w:val="20"/>
                <w:color w:val="auto"/>
              </w:rPr>
            </w:pPr>
            <w:r>
              <w:rPr>
                <w:rFonts w:ascii="Arial" w:cs="Arial" w:eastAsia="Arial" w:hAnsi="Arial"/>
                <w:sz w:val="14"/>
                <w:szCs w:val="14"/>
                <w:color w:val="auto"/>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7"/>
                <w:szCs w:val="17"/>
                <w:color w:val="auto"/>
              </w:rPr>
            </w:pPr>
          </w:p>
        </w:tc>
      </w:tr>
      <w:tr>
        <w:trPr>
          <w:trHeight w:val="203"/>
        </w:trPr>
        <w:tc>
          <w:tcPr>
            <w:tcW w:w="3480" w:type="dxa"/>
            <w:vAlign w:val="bottom"/>
          </w:tcPr>
          <w:p>
            <w:pPr>
              <w:ind w:left="180"/>
              <w:spacing w:after="0"/>
              <w:rPr>
                <w:sz w:val="20"/>
                <w:szCs w:val="20"/>
                <w:color w:val="auto"/>
              </w:rPr>
            </w:pPr>
            <w:r>
              <w:rPr>
                <w:rFonts w:ascii="Arial" w:cs="Arial" w:eastAsia="Arial" w:hAnsi="Arial"/>
                <w:sz w:val="14"/>
                <w:szCs w:val="14"/>
                <w:color w:val="auto"/>
              </w:rPr>
              <w:t>Capital in excess of par</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77,554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77,643</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77,701</w:t>
            </w:r>
          </w:p>
        </w:tc>
        <w:tc>
          <w:tcPr>
            <w:tcW w:w="680" w:type="dxa"/>
            <w:vAlign w:val="bottom"/>
          </w:tcPr>
          <w:p>
            <w:pPr>
              <w:jc w:val="right"/>
              <w:spacing w:after="0"/>
              <w:rPr>
                <w:sz w:val="20"/>
                <w:szCs w:val="20"/>
                <w:color w:val="auto"/>
              </w:rPr>
            </w:pPr>
            <w:r>
              <w:rPr>
                <w:rFonts w:ascii="Arial" w:cs="Arial" w:eastAsia="Arial" w:hAnsi="Arial"/>
                <w:sz w:val="14"/>
                <w:szCs w:val="14"/>
                <w:color w:val="auto"/>
              </w:rPr>
              <w:t>77,728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77,728</w:t>
            </w:r>
          </w:p>
        </w:tc>
        <w:tc>
          <w:tcPr>
            <w:tcW w:w="3120" w:type="dxa"/>
            <w:vAlign w:val="bottom"/>
            <w:tcBorders>
              <w:left w:val="single" w:sz="8" w:color="CCEEFF"/>
            </w:tcBorders>
            <w:gridSpan w:val="2"/>
          </w:tcPr>
          <w:p>
            <w:pPr>
              <w:jc w:val="right"/>
              <w:ind w:right="2268"/>
              <w:spacing w:after="0"/>
              <w:rPr>
                <w:sz w:val="20"/>
                <w:szCs w:val="20"/>
                <w:color w:val="auto"/>
              </w:rPr>
            </w:pPr>
            <w:r>
              <w:rPr>
                <w:rFonts w:ascii="Arial" w:cs="Arial" w:eastAsia="Arial" w:hAnsi="Arial"/>
                <w:sz w:val="14"/>
                <w:szCs w:val="14"/>
                <w:color w:val="auto"/>
              </w:rPr>
              <w:t>77,761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77,761</w:t>
            </w:r>
          </w:p>
        </w:tc>
        <w:tc>
          <w:tcPr>
            <w:tcW w:w="20" w:type="dxa"/>
            <w:vAlign w:val="bottom"/>
            <w:shd w:val="clear" w:color="auto" w:fill="CCEEFF"/>
          </w:tcPr>
          <w:p>
            <w:pPr>
              <w:spacing w:after="0"/>
              <w:rPr>
                <w:sz w:val="17"/>
                <w:szCs w:val="17"/>
                <w:color w:val="auto"/>
              </w:rPr>
            </w:pPr>
          </w:p>
        </w:tc>
      </w:tr>
      <w:tr>
        <w:trPr>
          <w:trHeight w:val="203"/>
        </w:trPr>
        <w:tc>
          <w:tcPr>
            <w:tcW w:w="3480" w:type="dxa"/>
            <w:vAlign w:val="bottom"/>
          </w:tcPr>
          <w:p>
            <w:pPr>
              <w:ind w:left="100"/>
              <w:spacing w:after="0"/>
              <w:rPr>
                <w:sz w:val="20"/>
                <w:szCs w:val="20"/>
                <w:color w:val="auto"/>
              </w:rPr>
            </w:pPr>
            <w:r>
              <w:rPr>
                <w:rFonts w:ascii="Arial" w:cs="Arial" w:eastAsia="Arial" w:hAnsi="Arial"/>
                <w:sz w:val="14"/>
                <w:szCs w:val="14"/>
                <w:color w:val="auto"/>
              </w:rPr>
              <w:t>Treasury stock</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(72,666)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(73,899)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(75,186)</w:t>
            </w:r>
          </w:p>
        </w:tc>
        <w:tc>
          <w:tcPr>
            <w:tcW w:w="680" w:type="dxa"/>
            <w:vAlign w:val="bottom"/>
          </w:tcPr>
          <w:p>
            <w:pPr>
              <w:jc w:val="right"/>
              <w:spacing w:after="0"/>
              <w:rPr>
                <w:sz w:val="20"/>
                <w:szCs w:val="20"/>
                <w:color w:val="auto"/>
              </w:rPr>
            </w:pPr>
            <w:r>
              <w:rPr>
                <w:rFonts w:ascii="Arial" w:cs="Arial" w:eastAsia="Arial" w:hAnsi="Arial"/>
                <w:sz w:val="14"/>
                <w:szCs w:val="14"/>
                <w:color w:val="auto"/>
              </w:rPr>
              <w:t>(76,217)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(76,217)</w:t>
            </w:r>
          </w:p>
        </w:tc>
        <w:tc>
          <w:tcPr>
            <w:tcW w:w="3120" w:type="dxa"/>
            <w:vAlign w:val="bottom"/>
            <w:tcBorders>
              <w:left w:val="single" w:sz="8" w:color="CCEEFF"/>
            </w:tcBorders>
            <w:gridSpan w:val="2"/>
          </w:tcPr>
          <w:p>
            <w:pPr>
              <w:jc w:val="right"/>
              <w:ind w:right="2228"/>
              <w:spacing w:after="0"/>
              <w:rPr>
                <w:sz w:val="20"/>
                <w:szCs w:val="20"/>
                <w:color w:val="auto"/>
              </w:rPr>
            </w:pPr>
            <w:r>
              <w:rPr>
                <w:rFonts w:ascii="Arial" w:cs="Arial" w:eastAsia="Arial" w:hAnsi="Arial"/>
                <w:sz w:val="14"/>
                <w:szCs w:val="14"/>
                <w:color w:val="auto"/>
              </w:rPr>
              <w:t>(77,231)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(77,231)</w:t>
            </w:r>
          </w:p>
        </w:tc>
        <w:tc>
          <w:tcPr>
            <w:tcW w:w="20" w:type="dxa"/>
            <w:vAlign w:val="bottom"/>
            <w:shd w:val="clear" w:color="auto" w:fill="CCEEFF"/>
          </w:tcPr>
          <w:p>
            <w:pPr>
              <w:spacing w:after="0"/>
              <w:rPr>
                <w:sz w:val="17"/>
                <w:szCs w:val="17"/>
                <w:color w:val="auto"/>
              </w:rPr>
            </w:pPr>
          </w:p>
        </w:tc>
      </w:tr>
      <w:tr>
        <w:trPr>
          <w:trHeight w:val="203"/>
        </w:trPr>
        <w:tc>
          <w:tcPr>
            <w:tcW w:w="3480" w:type="dxa"/>
            <w:vAlign w:val="bottom"/>
          </w:tcPr>
          <w:p>
            <w:pPr>
              <w:ind w:left="100"/>
              <w:spacing w:after="0"/>
              <w:rPr>
                <w:sz w:val="20"/>
                <w:szCs w:val="20"/>
                <w:color w:val="auto"/>
              </w:rPr>
            </w:pPr>
            <w:r>
              <w:rPr>
                <w:rFonts w:ascii="Arial" w:cs="Arial" w:eastAsia="Arial" w:hAnsi="Arial"/>
                <w:sz w:val="14"/>
                <w:szCs w:val="14"/>
                <w:color w:val="auto"/>
              </w:rPr>
              <w:t>Accumulated other comprehensive income (loss)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(6,394)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(5,902)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(6,074)</w:t>
            </w:r>
          </w:p>
        </w:tc>
        <w:tc>
          <w:tcPr>
            <w:tcW w:w="680" w:type="dxa"/>
            <w:vAlign w:val="bottom"/>
          </w:tcPr>
          <w:p>
            <w:pPr>
              <w:jc w:val="right"/>
              <w:spacing w:after="0"/>
              <w:rPr>
                <w:sz w:val="20"/>
                <w:szCs w:val="20"/>
                <w:color w:val="auto"/>
              </w:rPr>
            </w:pPr>
            <w:r>
              <w:rPr>
                <w:rFonts w:ascii="Arial" w:cs="Arial" w:eastAsia="Arial" w:hAnsi="Arial"/>
                <w:sz w:val="14"/>
                <w:szCs w:val="14"/>
                <w:color w:val="auto"/>
              </w:rPr>
              <w:t>(5,911)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(5,911)</w:t>
            </w:r>
          </w:p>
        </w:tc>
        <w:tc>
          <w:tcPr>
            <w:tcW w:w="3120" w:type="dxa"/>
            <w:vAlign w:val="bottom"/>
            <w:tcBorders>
              <w:left w:val="single" w:sz="8" w:color="CCEEFF"/>
            </w:tcBorders>
            <w:gridSpan w:val="2"/>
          </w:tcPr>
          <w:p>
            <w:pPr>
              <w:jc w:val="right"/>
              <w:ind w:right="2228"/>
              <w:spacing w:after="0"/>
              <w:rPr>
                <w:sz w:val="20"/>
                <w:szCs w:val="20"/>
                <w:color w:val="auto"/>
              </w:rPr>
            </w:pPr>
            <w:r>
              <w:rPr>
                <w:rFonts w:ascii="Arial" w:cs="Arial" w:eastAsia="Arial" w:hAnsi="Arial"/>
                <w:sz w:val="14"/>
                <w:szCs w:val="14"/>
                <w:color w:val="auto"/>
              </w:rPr>
              <w:t>(6,028)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(6,028)</w:t>
            </w:r>
          </w:p>
        </w:tc>
        <w:tc>
          <w:tcPr>
            <w:tcW w:w="20" w:type="dxa"/>
            <w:vAlign w:val="bottom"/>
            <w:shd w:val="clear" w:color="auto" w:fill="CCEEFF"/>
          </w:tcPr>
          <w:p>
            <w:pPr>
              <w:spacing w:after="0"/>
              <w:rPr>
                <w:sz w:val="17"/>
                <w:szCs w:val="17"/>
                <w:color w:val="auto"/>
              </w:rPr>
            </w:pPr>
          </w:p>
        </w:tc>
      </w:tr>
      <w:tr>
        <w:trPr>
          <w:trHeight w:val="207"/>
        </w:trPr>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Retained earnings</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66,721</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67,707</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68,459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68,864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68,864</w:t>
            </w:r>
          </w:p>
        </w:tc>
        <w:tc>
          <w:tcPr>
            <w:tcW w:w="100" w:type="dxa"/>
            <w:vAlign w:val="bottom"/>
            <w:tcBorders>
              <w:left w:val="single" w:sz="8" w:color="CCEEFF"/>
            </w:tcBorders>
          </w:tcPr>
          <w:p>
            <w:pPr>
              <w:spacing w:after="0"/>
              <w:rPr>
                <w:sz w:val="17"/>
                <w:szCs w:val="17"/>
                <w:color w:val="auto"/>
              </w:rPr>
            </w:pPr>
          </w:p>
        </w:tc>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70,016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70,016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equity</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65,238</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65,572</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64,923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64,487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64,487</w:t>
            </w:r>
          </w:p>
        </w:tc>
        <w:tc>
          <w:tcPr>
            <w:tcW w:w="100" w:type="dxa"/>
            <w:vAlign w:val="bottom"/>
            <w:tcBorders>
              <w:left w:val="single" w:sz="8" w:color="CCEEFF"/>
            </w:tcBorders>
          </w:tcPr>
          <w:p>
            <w:pPr>
              <w:spacing w:after="0"/>
              <w:rPr>
                <w:sz w:val="17"/>
                <w:szCs w:val="17"/>
                <w:color w:val="auto"/>
              </w:rPr>
            </w:pPr>
          </w:p>
        </w:tc>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64,541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64,541</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124,254</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122,599</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122,472</w:t>
            </w:r>
          </w:p>
        </w:tc>
        <w:tc>
          <w:tcPr>
            <w:tcW w:w="680" w:type="dxa"/>
            <w:vAlign w:val="bottom"/>
          </w:tcPr>
          <w:p>
            <w:pPr>
              <w:jc w:val="right"/>
              <w:spacing w:after="0"/>
              <w:rPr>
                <w:sz w:val="20"/>
                <w:szCs w:val="20"/>
                <w:color w:val="auto"/>
              </w:rPr>
            </w:pPr>
            <w:r>
              <w:rPr>
                <w:rFonts w:ascii="Arial" w:cs="Arial" w:eastAsia="Arial" w:hAnsi="Arial"/>
                <w:sz w:val="14"/>
                <w:szCs w:val="14"/>
                <w:color w:val="auto"/>
              </w:rPr>
              <w:t>121,939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121,939</w:t>
            </w:r>
          </w:p>
        </w:tc>
        <w:tc>
          <w:tcPr>
            <w:tcW w:w="3120" w:type="dxa"/>
            <w:vAlign w:val="bottom"/>
            <w:tcBorders>
              <w:left w:val="single" w:sz="8" w:color="CCEEFF"/>
            </w:tcBorders>
            <w:gridSpan w:val="2"/>
          </w:tcPr>
          <w:p>
            <w:pPr>
              <w:jc w:val="right"/>
              <w:ind w:right="2268"/>
              <w:spacing w:after="0"/>
              <w:rPr>
                <w:sz w:val="20"/>
                <w:szCs w:val="20"/>
                <w:color w:val="auto"/>
              </w:rPr>
            </w:pPr>
            <w:r>
              <w:rPr>
                <w:rFonts w:ascii="Arial" w:cs="Arial" w:eastAsia="Arial" w:hAnsi="Arial"/>
                <w:sz w:val="14"/>
                <w:szCs w:val="14"/>
                <w:color w:val="auto"/>
              </w:rPr>
              <w:t>122,725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122,725</w:t>
            </w:r>
          </w:p>
        </w:tc>
        <w:tc>
          <w:tcPr>
            <w:tcW w:w="20" w:type="dxa"/>
            <w:vAlign w:val="bottom"/>
            <w:shd w:val="clear" w:color="auto" w:fill="CCEEFF"/>
          </w:tcPr>
          <w:p>
            <w:pPr>
              <w:spacing w:after="0"/>
              <w:rPr>
                <w:sz w:val="18"/>
                <w:szCs w:val="18"/>
                <w:color w:val="auto"/>
              </w:rPr>
            </w:pPr>
          </w:p>
        </w:tc>
      </w:tr>
      <w:tr>
        <w:trPr>
          <w:trHeight w:val="20"/>
        </w:trPr>
        <w:tc>
          <w:tcPr>
            <w:tcW w:w="3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type w:val="continuous"/>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36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2026</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20"/>
              <w:spacing w:after="0"/>
              <w:rPr>
                <w:sz w:val="20"/>
                <w:szCs w:val="20"/>
                <w:color w:val="auto"/>
              </w:rPr>
            </w:pPr>
            <w:r>
              <w:rPr>
                <w:rFonts w:ascii="Arial" w:cs="Arial" w:eastAsia="Arial" w:hAnsi="Arial"/>
                <w:sz w:val="14"/>
                <w:szCs w:val="14"/>
                <w:color w:val="auto"/>
              </w:rPr>
              <w:t>$ Millions</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3rd Qtr</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Full Year</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1st Qtr</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3rd Qtr</w:t>
            </w: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b w:val="1"/>
                <w:bCs w:val="1"/>
                <w:color w:val="0000FF"/>
              </w:rPr>
              <w:t>CASH FLOW INFORMATION</w:t>
            </w: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60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2,849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1,971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1,726</w:t>
            </w:r>
          </w:p>
        </w:tc>
        <w:tc>
          <w:tcPr>
            <w:tcW w:w="700" w:type="dxa"/>
            <w:vAlign w:val="bottom"/>
          </w:tcPr>
          <w:p>
            <w:pPr>
              <w:jc w:val="right"/>
              <w:spacing w:after="0"/>
              <w:rPr>
                <w:sz w:val="20"/>
                <w:szCs w:val="20"/>
                <w:color w:val="auto"/>
              </w:rPr>
            </w:pPr>
            <w:r>
              <w:rPr>
                <w:rFonts w:ascii="Arial" w:cs="Arial" w:eastAsia="Arial" w:hAnsi="Arial"/>
                <w:sz w:val="14"/>
                <w:szCs w:val="14"/>
                <w:color w:val="auto"/>
              </w:rPr>
              <w:t>1,442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7,988</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2,183</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Depreciation, depletion and amortization</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2,746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2,838</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2,917</w:t>
            </w:r>
          </w:p>
        </w:tc>
        <w:tc>
          <w:tcPr>
            <w:tcW w:w="700" w:type="dxa"/>
            <w:vAlign w:val="bottom"/>
          </w:tcPr>
          <w:p>
            <w:pPr>
              <w:jc w:val="right"/>
              <w:spacing w:after="0"/>
              <w:rPr>
                <w:sz w:val="20"/>
                <w:szCs w:val="20"/>
                <w:color w:val="auto"/>
              </w:rPr>
            </w:pPr>
            <w:r>
              <w:rPr>
                <w:rFonts w:ascii="Arial" w:cs="Arial" w:eastAsia="Arial" w:hAnsi="Arial"/>
                <w:sz w:val="14"/>
                <w:szCs w:val="14"/>
                <w:color w:val="auto"/>
              </w:rPr>
              <w:t>2,999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2,906</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w:t>
            </w:r>
          </w:p>
        </w:tc>
        <w:tc>
          <w:tcPr>
            <w:tcW w:w="0" w:type="dxa"/>
            <w:vAlign w:val="bottom"/>
          </w:tcPr>
          <w:p>
            <w:pPr>
              <w:spacing w:after="0"/>
              <w:rPr>
                <w:sz w:val="1"/>
                <w:szCs w:val="1"/>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Impairments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19</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Dry hole costs and leasehold impairments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700" w:type="dxa"/>
            <w:vAlign w:val="bottom"/>
          </w:tcPr>
          <w:p>
            <w:pPr>
              <w:jc w:val="right"/>
              <w:spacing w:after="0"/>
              <w:rPr>
                <w:sz w:val="20"/>
                <w:szCs w:val="20"/>
                <w:color w:val="auto"/>
              </w:rPr>
            </w:pPr>
            <w:r>
              <w:rPr>
                <w:rFonts w:ascii="Arial" w:cs="Arial" w:eastAsia="Arial" w:hAnsi="Arial"/>
                <w:sz w:val="14"/>
                <w:szCs w:val="14"/>
                <w:color w:val="auto"/>
              </w:rPr>
              <w:t>76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34</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Accretion on discounted liabilities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700" w:type="dxa"/>
            <w:vAlign w:val="bottom"/>
          </w:tcPr>
          <w:p>
            <w:pPr>
              <w:jc w:val="right"/>
              <w:spacing w:after="0"/>
              <w:rPr>
                <w:sz w:val="20"/>
                <w:szCs w:val="20"/>
                <w:color w:val="auto"/>
              </w:rPr>
            </w:pPr>
            <w:r>
              <w:rPr>
                <w:rFonts w:ascii="Arial" w:cs="Arial" w:eastAsia="Arial" w:hAnsi="Arial"/>
                <w:sz w:val="14"/>
                <w:szCs w:val="14"/>
                <w:color w:val="auto"/>
              </w:rPr>
              <w:t>95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97</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Deferred taxes</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354</w:t>
            </w:r>
          </w:p>
        </w:tc>
        <w:tc>
          <w:tcPr>
            <w:tcW w:w="700" w:type="dxa"/>
            <w:vAlign w:val="bottom"/>
          </w:tcPr>
          <w:p>
            <w:pPr>
              <w:jc w:val="right"/>
              <w:spacing w:after="0"/>
              <w:rPr>
                <w:sz w:val="20"/>
                <w:szCs w:val="20"/>
                <w:color w:val="auto"/>
              </w:rPr>
            </w:pPr>
            <w:r>
              <w:rPr>
                <w:rFonts w:ascii="Arial" w:cs="Arial" w:eastAsia="Arial" w:hAnsi="Arial"/>
                <w:sz w:val="14"/>
                <w:szCs w:val="14"/>
                <w:color w:val="auto"/>
              </w:rPr>
              <w:t>117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102</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61"/>
        </w:trPr>
        <w:tc>
          <w:tcPr>
            <w:tcW w:w="3600" w:type="dxa"/>
            <w:vAlign w:val="bottom"/>
          </w:tcPr>
          <w:p>
            <w:pPr>
              <w:ind w:left="100"/>
              <w:spacing w:after="0"/>
              <w:rPr>
                <w:sz w:val="20"/>
                <w:szCs w:val="20"/>
                <w:color w:val="auto"/>
              </w:rPr>
            </w:pPr>
            <w:r>
              <w:rPr>
                <w:rFonts w:ascii="Arial" w:cs="Arial" w:eastAsia="Arial" w:hAnsi="Arial"/>
                <w:sz w:val="14"/>
                <w:szCs w:val="14"/>
                <w:color w:val="auto"/>
              </w:rPr>
              <w:t>Distributions more (less) than income from equity</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(19)</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(93)</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389</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7</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3600" w:type="dxa"/>
            <w:vAlign w:val="bottom"/>
          </w:tcPr>
          <w:p>
            <w:pPr>
              <w:ind w:left="100"/>
              <w:spacing w:after="0"/>
              <w:rPr>
                <w:sz w:val="20"/>
                <w:szCs w:val="20"/>
                <w:color w:val="auto"/>
              </w:rPr>
            </w:pPr>
            <w:r>
              <w:rPr>
                <w:rFonts w:ascii="Arial" w:cs="Arial" w:eastAsia="Arial" w:hAnsi="Arial"/>
                <w:sz w:val="14"/>
                <w:szCs w:val="14"/>
                <w:color w:val="auto"/>
              </w:rPr>
              <w:t>affiliates</w:t>
            </w:r>
          </w:p>
        </w:tc>
        <w:tc>
          <w:tcPr>
            <w:tcW w:w="8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00"/>
              <w:spacing w:after="0"/>
              <w:rPr>
                <w:sz w:val="20"/>
                <w:szCs w:val="20"/>
                <w:color w:val="auto"/>
              </w:rPr>
            </w:pPr>
            <w:r>
              <w:rPr>
                <w:rFonts w:ascii="Arial" w:cs="Arial" w:eastAsia="Arial" w:hAnsi="Arial"/>
                <w:sz w:val="14"/>
                <w:szCs w:val="14"/>
                <w:color w:val="auto"/>
              </w:rPr>
              <w:t>(Gain) loss on dispositions</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(317)</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700" w:type="dxa"/>
            <w:vAlign w:val="bottom"/>
          </w:tcPr>
          <w:p>
            <w:pPr>
              <w:jc w:val="right"/>
              <w:spacing w:after="0"/>
              <w:rPr>
                <w:sz w:val="20"/>
                <w:szCs w:val="20"/>
                <w:color w:val="auto"/>
              </w:rPr>
            </w:pPr>
            <w:r>
              <w:rPr>
                <w:rFonts w:ascii="Arial" w:cs="Arial" w:eastAsia="Arial" w:hAnsi="Arial"/>
                <w:sz w:val="14"/>
                <w:szCs w:val="14"/>
                <w:color w:val="auto"/>
              </w:rPr>
              <w:t>(332)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880" w:type="dxa"/>
            <w:vAlign w:val="bottom"/>
            <w:gridSpan w:val="2"/>
          </w:tcPr>
          <w:p>
            <w:pPr>
              <w:jc w:val="right"/>
              <w:ind w:right="8"/>
              <w:spacing w:after="0"/>
              <w:rPr>
                <w:sz w:val="20"/>
                <w:szCs w:val="20"/>
                <w:color w:val="auto"/>
              </w:rPr>
            </w:pPr>
            <w:r>
              <w:rPr>
                <w:rFonts w:ascii="Arial" w:cs="Arial" w:eastAsia="Arial" w:hAnsi="Arial"/>
                <w:sz w:val="14"/>
                <w:szCs w:val="14"/>
                <w:color w:val="auto"/>
              </w:rPr>
              <w:t>(5)</w:t>
            </w: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Other</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44</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Net working capital changes</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648</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(1,236)</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(1,092)</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07"/>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6,115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3,485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5,878</w:t>
            </w:r>
          </w:p>
        </w:tc>
        <w:tc>
          <w:tcPr>
            <w:tcW w:w="700" w:type="dxa"/>
            <w:vAlign w:val="bottom"/>
          </w:tcPr>
          <w:p>
            <w:pPr>
              <w:jc w:val="right"/>
              <w:spacing w:after="0"/>
              <w:rPr>
                <w:sz w:val="20"/>
                <w:szCs w:val="20"/>
                <w:color w:val="auto"/>
              </w:rPr>
            </w:pPr>
            <w:r>
              <w:rPr>
                <w:rFonts w:ascii="Arial" w:cs="Arial" w:eastAsia="Arial" w:hAnsi="Arial"/>
                <w:sz w:val="14"/>
                <w:szCs w:val="14"/>
                <w:color w:val="auto"/>
              </w:rPr>
              <w:t>4,318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19,796</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4,295</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335"/>
        </w:trPr>
        <w:tc>
          <w:tcPr>
            <w:tcW w:w="36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600" w:type="dxa"/>
            <w:vAlign w:val="bottom"/>
          </w:tcPr>
          <w:p>
            <w:pPr>
              <w:ind w:left="100"/>
              <w:spacing w:after="0"/>
              <w:rPr>
                <w:sz w:val="20"/>
                <w:szCs w:val="20"/>
                <w:color w:val="auto"/>
              </w:rPr>
            </w:pPr>
            <w:r>
              <w:rPr>
                <w:rFonts w:ascii="Arial" w:cs="Arial" w:eastAsia="Arial" w:hAnsi="Arial"/>
                <w:sz w:val="14"/>
                <w:szCs w:val="14"/>
                <w:color w:val="auto"/>
              </w:rPr>
              <w:t>Capital expenditures and investments</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(3,378)</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(3,286)</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(2,866)</w:t>
            </w:r>
          </w:p>
        </w:tc>
        <w:tc>
          <w:tcPr>
            <w:tcW w:w="700" w:type="dxa"/>
            <w:vAlign w:val="bottom"/>
          </w:tcPr>
          <w:p>
            <w:pPr>
              <w:jc w:val="right"/>
              <w:spacing w:after="0"/>
              <w:rPr>
                <w:sz w:val="20"/>
                <w:szCs w:val="20"/>
                <w:color w:val="auto"/>
              </w:rPr>
            </w:pPr>
            <w:r>
              <w:rPr>
                <w:rFonts w:ascii="Arial" w:cs="Arial" w:eastAsia="Arial" w:hAnsi="Arial"/>
                <w:sz w:val="14"/>
                <w:szCs w:val="14"/>
                <w:color w:val="auto"/>
              </w:rPr>
              <w:t>(3,023)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(12,553)</w:t>
            </w:r>
          </w:p>
        </w:tc>
        <w:tc>
          <w:tcPr>
            <w:tcW w:w="880" w:type="dxa"/>
            <w:vAlign w:val="bottom"/>
            <w:gridSpan w:val="2"/>
          </w:tcPr>
          <w:p>
            <w:pPr>
              <w:jc w:val="right"/>
              <w:ind w:right="8"/>
              <w:spacing w:after="0"/>
              <w:rPr>
                <w:sz w:val="20"/>
                <w:szCs w:val="20"/>
                <w:color w:val="auto"/>
              </w:rPr>
            </w:pPr>
            <w:r>
              <w:rPr>
                <w:rFonts w:ascii="Arial" w:cs="Arial" w:eastAsia="Arial" w:hAnsi="Arial"/>
                <w:sz w:val="14"/>
                <w:szCs w:val="14"/>
                <w:color w:val="auto"/>
              </w:rPr>
              <w:t>(2,948)</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(2,948)</w:t>
            </w:r>
          </w:p>
        </w:tc>
        <w:tc>
          <w:tcPr>
            <w:tcW w:w="0" w:type="dxa"/>
            <w:vAlign w:val="bottom"/>
          </w:tcPr>
          <w:p>
            <w:pPr>
              <w:spacing w:after="0"/>
              <w:rPr>
                <w:sz w:val="1"/>
                <w:szCs w:val="1"/>
                <w:color w:val="auto"/>
              </w:rPr>
            </w:pPr>
          </w:p>
        </w:tc>
      </w:tr>
      <w:tr>
        <w:trPr>
          <w:trHeight w:val="161"/>
        </w:trPr>
        <w:tc>
          <w:tcPr>
            <w:tcW w:w="3600" w:type="dxa"/>
            <w:vAlign w:val="bottom"/>
          </w:tcPr>
          <w:p>
            <w:pPr>
              <w:ind w:left="100"/>
              <w:spacing w:after="0"/>
              <w:rPr>
                <w:sz w:val="20"/>
                <w:szCs w:val="20"/>
                <w:color w:val="auto"/>
              </w:rPr>
            </w:pPr>
            <w:r>
              <w:rPr>
                <w:rFonts w:ascii="Arial" w:cs="Arial" w:eastAsia="Arial" w:hAnsi="Arial"/>
                <w:sz w:val="14"/>
                <w:szCs w:val="14"/>
                <w:color w:val="auto"/>
              </w:rPr>
              <w:t>Working capital changes associated with investing</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827</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(276)</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(63)</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8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162</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9"/>
        </w:trPr>
        <w:tc>
          <w:tcPr>
            <w:tcW w:w="3600" w:type="dxa"/>
            <w:vAlign w:val="bottom"/>
          </w:tcPr>
          <w:p>
            <w:pPr>
              <w:ind w:left="100"/>
              <w:spacing w:after="0"/>
              <w:rPr>
                <w:sz w:val="20"/>
                <w:szCs w:val="20"/>
                <w:color w:val="auto"/>
              </w:rPr>
            </w:pPr>
            <w:r>
              <w:rPr>
                <w:rFonts w:ascii="Arial" w:cs="Arial" w:eastAsia="Arial" w:hAnsi="Arial"/>
                <w:sz w:val="14"/>
                <w:szCs w:val="14"/>
                <w:color w:val="auto"/>
              </w:rPr>
              <w:t>activities</w:t>
            </w:r>
          </w:p>
        </w:tc>
        <w:tc>
          <w:tcPr>
            <w:tcW w:w="8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00"/>
              <w:spacing w:after="0"/>
              <w:rPr>
                <w:sz w:val="20"/>
                <w:szCs w:val="20"/>
                <w:color w:val="auto"/>
              </w:rPr>
            </w:pPr>
            <w:r>
              <w:rPr>
                <w:rFonts w:ascii="Arial" w:cs="Arial" w:eastAsia="Arial" w:hAnsi="Arial"/>
                <w:sz w:val="14"/>
                <w:szCs w:val="14"/>
                <w:color w:val="auto"/>
              </w:rPr>
              <w:t>Proceeds from asset dispositions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700" w:type="dxa"/>
            <w:vAlign w:val="bottom"/>
          </w:tcPr>
          <w:p>
            <w:pPr>
              <w:jc w:val="right"/>
              <w:spacing w:after="0"/>
              <w:rPr>
                <w:sz w:val="20"/>
                <w:szCs w:val="20"/>
                <w:color w:val="auto"/>
              </w:rPr>
            </w:pPr>
            <w:r>
              <w:rPr>
                <w:rFonts w:ascii="Arial" w:cs="Arial" w:eastAsia="Arial" w:hAnsi="Arial"/>
                <w:sz w:val="14"/>
                <w:szCs w:val="14"/>
                <w:color w:val="auto"/>
              </w:rPr>
              <w:t>1,616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3,248</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9</w:t>
            </w: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Net sales (purchases) of investments</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392</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(548)</w:t>
            </w:r>
          </w:p>
        </w:tc>
        <w:tc>
          <w:tcPr>
            <w:tcW w:w="700" w:type="dxa"/>
            <w:vAlign w:val="bottom"/>
          </w:tcPr>
          <w:p>
            <w:pPr>
              <w:jc w:val="right"/>
              <w:spacing w:after="0"/>
              <w:rPr>
                <w:sz w:val="20"/>
                <w:szCs w:val="20"/>
                <w:color w:val="auto"/>
              </w:rPr>
            </w:pPr>
            <w:r>
              <w:rPr>
                <w:rFonts w:ascii="Arial" w:cs="Arial" w:eastAsia="Arial" w:hAnsi="Arial"/>
                <w:sz w:val="14"/>
                <w:szCs w:val="14"/>
                <w:color w:val="auto"/>
              </w:rPr>
              <w:t>501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80" w:type="dxa"/>
            <w:vAlign w:val="bottom"/>
            <w:gridSpan w:val="2"/>
          </w:tcPr>
          <w:p>
            <w:pPr>
              <w:jc w:val="right"/>
              <w:ind w:right="8"/>
              <w:spacing w:after="0"/>
              <w:rPr>
                <w:sz w:val="20"/>
                <w:szCs w:val="20"/>
                <w:color w:val="auto"/>
              </w:rPr>
            </w:pPr>
            <w:r>
              <w:rPr>
                <w:rFonts w:ascii="Arial" w:cs="Arial" w:eastAsia="Arial" w:hAnsi="Arial"/>
                <w:sz w:val="14"/>
                <w:szCs w:val="14"/>
                <w:color w:val="auto"/>
              </w:rPr>
              <w:t>(30)</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(2,346)</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(2,461)</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(3,179)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(8,836)</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(2,808)</w:t>
            </w: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-7620</wp:posOffset>
            </wp:positionV>
            <wp:extent cx="480060" cy="351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0060" cy="3517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-7620</wp:posOffset>
            </wp:positionV>
            <wp:extent cx="480060" cy="351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0060" cy="3517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Pr>
          <w:p>
            <w:pPr>
              <w:ind w:left="100"/>
              <w:spacing w:after="0"/>
              <w:rPr>
                <w:sz w:val="20"/>
                <w:szCs w:val="20"/>
                <w:color w:val="auto"/>
              </w:rPr>
            </w:pPr>
            <w:r>
              <w:rPr>
                <w:rFonts w:ascii="Arial" w:cs="Arial" w:eastAsia="Arial" w:hAnsi="Arial"/>
                <w:sz w:val="14"/>
                <w:szCs w:val="14"/>
                <w:color w:val="auto"/>
              </w:rPr>
              <w:t>Net issuance (repayment) of debt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(547)</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(259)</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620" w:type="dxa"/>
            <w:vAlign w:val="bottom"/>
          </w:tcPr>
          <w:p>
            <w:pPr>
              <w:jc w:val="right"/>
              <w:spacing w:after="0"/>
              <w:rPr>
                <w:sz w:val="20"/>
                <w:szCs w:val="20"/>
                <w:color w:val="auto"/>
              </w:rPr>
            </w:pPr>
            <w:r>
              <w:rPr>
                <w:rFonts w:ascii="Arial" w:cs="Arial" w:eastAsia="Arial" w:hAnsi="Arial"/>
                <w:sz w:val="14"/>
                <w:szCs w:val="14"/>
                <w:color w:val="auto"/>
              </w:rPr>
              <w:t>(62)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100"/>
              <w:spacing w:after="0"/>
              <w:rPr>
                <w:sz w:val="20"/>
                <w:szCs w:val="20"/>
                <w:color w:val="auto"/>
              </w:rPr>
            </w:pPr>
            <w:r>
              <w:rPr>
                <w:rFonts w:ascii="Arial" w:cs="Arial" w:eastAsia="Arial" w:hAnsi="Arial"/>
                <w:sz w:val="14"/>
                <w:szCs w:val="14"/>
                <w:color w:val="auto"/>
              </w:rPr>
              <w:t>Issuance of company common stock</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(52)</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100"/>
              <w:spacing w:after="0"/>
              <w:rPr>
                <w:sz w:val="20"/>
                <w:szCs w:val="20"/>
                <w:color w:val="auto"/>
              </w:rPr>
            </w:pPr>
            <w:r>
              <w:rPr>
                <w:rFonts w:ascii="Arial" w:cs="Arial" w:eastAsia="Arial" w:hAnsi="Arial"/>
                <w:sz w:val="14"/>
                <w:szCs w:val="14"/>
                <w:color w:val="auto"/>
              </w:rPr>
              <w:t>Repurchase of company common stock</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(1,500)</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(1,222)</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(1,274)</w:t>
            </w:r>
          </w:p>
        </w:tc>
        <w:tc>
          <w:tcPr>
            <w:tcW w:w="620" w:type="dxa"/>
            <w:vAlign w:val="bottom"/>
          </w:tcPr>
          <w:p>
            <w:pPr>
              <w:jc w:val="right"/>
              <w:spacing w:after="0"/>
              <w:rPr>
                <w:sz w:val="20"/>
                <w:szCs w:val="20"/>
                <w:color w:val="auto"/>
              </w:rPr>
            </w:pPr>
            <w:r>
              <w:rPr>
                <w:rFonts w:ascii="Arial" w:cs="Arial" w:eastAsia="Arial" w:hAnsi="Arial"/>
                <w:sz w:val="14"/>
                <w:szCs w:val="14"/>
                <w:color w:val="auto"/>
              </w:rPr>
              <w:t>(1,022)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100"/>
              <w:spacing w:after="0"/>
              <w:rPr>
                <w:sz w:val="20"/>
                <w:szCs w:val="20"/>
                <w:color w:val="auto"/>
              </w:rPr>
            </w:pPr>
            <w:r>
              <w:rPr>
                <w:rFonts w:ascii="Arial" w:cs="Arial" w:eastAsia="Arial" w:hAnsi="Arial"/>
                <w:sz w:val="14"/>
                <w:szCs w:val="14"/>
                <w:color w:val="auto"/>
              </w:rPr>
              <w:t>Dividends paid</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(998)</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(984)</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(975)</w:t>
            </w:r>
          </w:p>
        </w:tc>
        <w:tc>
          <w:tcPr>
            <w:tcW w:w="620" w:type="dxa"/>
            <w:vAlign w:val="bottom"/>
          </w:tcPr>
          <w:p>
            <w:pPr>
              <w:jc w:val="right"/>
              <w:spacing w:after="0"/>
              <w:rPr>
                <w:sz w:val="20"/>
                <w:szCs w:val="20"/>
                <w:color w:val="auto"/>
              </w:rPr>
            </w:pPr>
            <w:r>
              <w:rPr>
                <w:rFonts w:ascii="Arial" w:cs="Arial" w:eastAsia="Arial" w:hAnsi="Arial"/>
                <w:sz w:val="14"/>
                <w:szCs w:val="14"/>
                <w:color w:val="auto"/>
              </w:rPr>
              <w:t>(1,038)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(3,137)</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(2,483)</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(2,324)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Effect of exchange rate changes</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Net change in cash, cash equivalents and restricted</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715</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(1,394)</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373</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1,317</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cash</w:t>
            </w: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20" w:type="dxa"/>
            <w:vAlign w:val="bottom"/>
          </w:tcPr>
          <w:p>
            <w:pPr>
              <w:ind w:left="20"/>
              <w:spacing w:after="0" w:line="153" w:lineRule="exact"/>
              <w:rPr>
                <w:sz w:val="20"/>
                <w:szCs w:val="20"/>
                <w:color w:val="auto"/>
              </w:rPr>
            </w:pPr>
            <w:r>
              <w:rPr>
                <w:rFonts w:ascii="Arial" w:cs="Arial" w:eastAsia="Arial" w:hAnsi="Arial"/>
                <w:sz w:val="14"/>
                <w:szCs w:val="14"/>
                <w:color w:val="auto"/>
              </w:rPr>
              <w:t>Cash, cash equivalents and restricted cash at</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5,905</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6,620</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5,226</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5,599</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5,905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beginning of period</w:t>
            </w:r>
          </w:p>
        </w:tc>
        <w:tc>
          <w:tcPr>
            <w:tcW w:w="7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72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Cash, cash equivalents and restricted cash at end</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6,620</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5,226</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5,599</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6,916</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 period</w:t>
            </w:r>
          </w:p>
        </w:tc>
        <w:tc>
          <w:tcPr>
            <w:tcW w:w="7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1731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0060" cy="1731645"/>
                    </a:xfrm>
                    <a:prstGeom prst="rect">
                      <a:avLst/>
                    </a:prstGeom>
                    <a:noFill/>
                  </pic:spPr>
                </pic:pic>
              </a:graphicData>
            </a:graphic>
          </wp:anchor>
        </w:drawing>
      </w:r>
    </w:p>
    <w:p>
      <w:pPr>
        <w:ind w:left="20" w:right="800"/>
        <w:spacing w:after="0" w:line="261" w:lineRule="auto"/>
        <w:rPr>
          <w:sz w:val="20"/>
          <w:szCs w:val="20"/>
          <w:color w:val="auto"/>
        </w:rPr>
      </w:pPr>
      <w:r>
        <w:rPr>
          <w:rFonts w:ascii="Arial" w:cs="Arial" w:eastAsia="Arial" w:hAnsi="Arial"/>
          <w:sz w:val="14"/>
          <w:szCs w:val="14"/>
          <w:i w:val="1"/>
          <w:iCs w:val="1"/>
          <w:color w:val="auto"/>
        </w:rPr>
        <w:t>Restricted cash is included in the "Other assets" and "Prepaid expenses and other current assets" lines of our Consolidated Balance Sheet.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80" w:type="dxa"/>
            <w:vAlign w:val="bottom"/>
          </w:tcPr>
          <w:p>
            <w:pPr>
              <w:ind w:left="20"/>
              <w:spacing w:after="0"/>
              <w:rPr>
                <w:sz w:val="20"/>
                <w:szCs w:val="20"/>
                <w:color w:val="auto"/>
              </w:rPr>
            </w:pPr>
            <w:r>
              <w:rPr>
                <w:rFonts w:ascii="Arial" w:cs="Arial" w:eastAsia="Arial" w:hAnsi="Arial"/>
                <w:sz w:val="14"/>
                <w:szCs w:val="14"/>
                <w:b w:val="1"/>
                <w:bCs w:val="1"/>
                <w:color w:val="0000FF"/>
              </w:rPr>
              <w:t>CAPITAL EXPENDITURES AND INVESTMENTS</w:t>
            </w: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580" w:type="dxa"/>
            <w:vAlign w:val="bottom"/>
          </w:tcPr>
          <w:p>
            <w:pPr>
              <w:ind w:left="60"/>
              <w:spacing w:after="0"/>
              <w:rPr>
                <w:sz w:val="20"/>
                <w:szCs w:val="20"/>
                <w:color w:val="auto"/>
              </w:rPr>
            </w:pPr>
            <w:r>
              <w:rPr>
                <w:rFonts w:ascii="Arial" w:cs="Arial" w:eastAsia="Arial" w:hAnsi="Arial"/>
                <w:sz w:val="14"/>
                <w:szCs w:val="14"/>
                <w:color w:val="auto"/>
              </w:rPr>
              <w:t>Alaska</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1,046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986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753</w:t>
            </w:r>
          </w:p>
        </w:tc>
        <w:tc>
          <w:tcPr>
            <w:tcW w:w="620" w:type="dxa"/>
            <w:vAlign w:val="bottom"/>
          </w:tcPr>
          <w:p>
            <w:pPr>
              <w:jc w:val="right"/>
              <w:spacing w:after="0"/>
              <w:rPr>
                <w:sz w:val="20"/>
                <w:szCs w:val="20"/>
                <w:color w:val="auto"/>
              </w:rPr>
            </w:pPr>
            <w:r>
              <w:rPr>
                <w:rFonts w:ascii="Arial" w:cs="Arial" w:eastAsia="Arial" w:hAnsi="Arial"/>
                <w:sz w:val="14"/>
                <w:szCs w:val="14"/>
                <w:color w:val="auto"/>
              </w:rPr>
              <w:t>822</w:t>
            </w:r>
          </w:p>
        </w:tc>
        <w:tc>
          <w:tcPr>
            <w:tcW w:w="740" w:type="dxa"/>
            <w:vAlign w:val="bottom"/>
          </w:tcPr>
          <w:p>
            <w:pPr>
              <w:jc w:val="right"/>
              <w:spacing w:after="0"/>
              <w:rPr>
                <w:sz w:val="20"/>
                <w:szCs w:val="20"/>
                <w:color w:val="auto"/>
              </w:rPr>
            </w:pPr>
            <w:r>
              <w:rPr>
                <w:rFonts w:ascii="Arial" w:cs="Arial" w:eastAsia="Arial" w:hAnsi="Arial"/>
                <w:sz w:val="14"/>
                <w:szCs w:val="14"/>
                <w:color w:val="auto"/>
              </w:rPr>
              <w:t>3,607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tcPr>
          <w:p>
            <w:pPr>
              <w:ind w:left="60"/>
              <w:spacing w:after="0"/>
              <w:rPr>
                <w:sz w:val="20"/>
                <w:szCs w:val="20"/>
                <w:color w:val="auto"/>
              </w:rPr>
            </w:pPr>
            <w:r>
              <w:rPr>
                <w:rFonts w:ascii="Arial" w:cs="Arial" w:eastAsia="Arial" w:hAnsi="Arial"/>
                <w:sz w:val="14"/>
                <w:szCs w:val="14"/>
                <w:color w:val="auto"/>
              </w:rPr>
              <w:t>Lower 48</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1,814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1,704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1,571</w:t>
            </w:r>
          </w:p>
        </w:tc>
        <w:tc>
          <w:tcPr>
            <w:tcW w:w="620" w:type="dxa"/>
            <w:vAlign w:val="bottom"/>
          </w:tcPr>
          <w:p>
            <w:pPr>
              <w:jc w:val="right"/>
              <w:spacing w:after="0"/>
              <w:rPr>
                <w:sz w:val="20"/>
                <w:szCs w:val="20"/>
                <w:color w:val="auto"/>
              </w:rPr>
            </w:pPr>
            <w:r>
              <w:rPr>
                <w:rFonts w:ascii="Arial" w:cs="Arial" w:eastAsia="Arial" w:hAnsi="Arial"/>
                <w:sz w:val="14"/>
                <w:szCs w:val="14"/>
                <w:color w:val="auto"/>
              </w:rPr>
              <w:t>1,613</w:t>
            </w:r>
          </w:p>
        </w:tc>
        <w:tc>
          <w:tcPr>
            <w:tcW w:w="740" w:type="dxa"/>
            <w:vAlign w:val="bottom"/>
          </w:tcPr>
          <w:p>
            <w:pPr>
              <w:jc w:val="right"/>
              <w:spacing w:after="0"/>
              <w:rPr>
                <w:sz w:val="20"/>
                <w:szCs w:val="20"/>
                <w:color w:val="auto"/>
              </w:rPr>
            </w:pPr>
            <w:r>
              <w:rPr>
                <w:rFonts w:ascii="Arial" w:cs="Arial" w:eastAsia="Arial" w:hAnsi="Arial"/>
                <w:sz w:val="14"/>
                <w:szCs w:val="14"/>
                <w:color w:val="auto"/>
              </w:rPr>
              <w:t>6,702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tcPr>
          <w:p>
            <w:pPr>
              <w:ind w:left="60"/>
              <w:spacing w:after="0"/>
              <w:rPr>
                <w:sz w:val="20"/>
                <w:szCs w:val="20"/>
                <w:color w:val="auto"/>
              </w:rPr>
            </w:pPr>
            <w:r>
              <w:rPr>
                <w:rFonts w:ascii="Arial" w:cs="Arial" w:eastAsia="Arial" w:hAnsi="Arial"/>
                <w:sz w:val="14"/>
                <w:szCs w:val="14"/>
                <w:color w:val="auto"/>
              </w:rPr>
              <w:t>Canada</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165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144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152</w:t>
            </w:r>
          </w:p>
        </w:tc>
        <w:tc>
          <w:tcPr>
            <w:tcW w:w="620" w:type="dxa"/>
            <w:vAlign w:val="bottom"/>
          </w:tcPr>
          <w:p>
            <w:pPr>
              <w:jc w:val="right"/>
              <w:spacing w:after="0"/>
              <w:rPr>
                <w:sz w:val="20"/>
                <w:szCs w:val="20"/>
                <w:color w:val="auto"/>
              </w:rPr>
            </w:pPr>
            <w:r>
              <w:rPr>
                <w:rFonts w:ascii="Arial" w:cs="Arial" w:eastAsia="Arial" w:hAnsi="Arial"/>
                <w:sz w:val="14"/>
                <w:szCs w:val="14"/>
                <w:color w:val="auto"/>
              </w:rPr>
              <w:t>132</w:t>
            </w:r>
          </w:p>
        </w:tc>
        <w:tc>
          <w:tcPr>
            <w:tcW w:w="740" w:type="dxa"/>
            <w:vAlign w:val="bottom"/>
          </w:tcPr>
          <w:p>
            <w:pPr>
              <w:jc w:val="right"/>
              <w:spacing w:after="0"/>
              <w:rPr>
                <w:sz w:val="20"/>
                <w:szCs w:val="20"/>
                <w:color w:val="auto"/>
              </w:rPr>
            </w:pPr>
            <w:r>
              <w:rPr>
                <w:rFonts w:ascii="Arial" w:cs="Arial" w:eastAsia="Arial" w:hAnsi="Arial"/>
                <w:sz w:val="14"/>
                <w:szCs w:val="14"/>
                <w:color w:val="auto"/>
              </w:rPr>
              <w:t>593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tcPr>
          <w:p>
            <w:pPr>
              <w:ind w:left="60"/>
              <w:spacing w:after="0"/>
              <w:rPr>
                <w:sz w:val="20"/>
                <w:szCs w:val="20"/>
                <w:color w:val="auto"/>
              </w:rPr>
            </w:pPr>
            <w:r>
              <w:rPr>
                <w:rFonts w:ascii="Arial" w:cs="Arial" w:eastAsia="Arial" w:hAnsi="Arial"/>
                <w:sz w:val="14"/>
                <w:szCs w:val="14"/>
                <w:color w:val="auto"/>
              </w:rPr>
              <w:t>Europe, Middle East and North Africa</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274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356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293</w:t>
            </w:r>
          </w:p>
        </w:tc>
        <w:tc>
          <w:tcPr>
            <w:tcW w:w="620" w:type="dxa"/>
            <w:vAlign w:val="bottom"/>
          </w:tcPr>
          <w:p>
            <w:pPr>
              <w:jc w:val="right"/>
              <w:spacing w:after="0"/>
              <w:rPr>
                <w:sz w:val="20"/>
                <w:szCs w:val="20"/>
                <w:color w:val="auto"/>
              </w:rPr>
            </w:pPr>
            <w:r>
              <w:rPr>
                <w:rFonts w:ascii="Arial" w:cs="Arial" w:eastAsia="Arial" w:hAnsi="Arial"/>
                <w:sz w:val="14"/>
                <w:szCs w:val="14"/>
                <w:color w:val="auto"/>
              </w:rPr>
              <w:t>271</w:t>
            </w:r>
          </w:p>
        </w:tc>
        <w:tc>
          <w:tcPr>
            <w:tcW w:w="740" w:type="dxa"/>
            <w:vAlign w:val="bottom"/>
          </w:tcPr>
          <w:p>
            <w:pPr>
              <w:jc w:val="right"/>
              <w:spacing w:after="0"/>
              <w:rPr>
                <w:sz w:val="20"/>
                <w:szCs w:val="20"/>
                <w:color w:val="auto"/>
              </w:rPr>
            </w:pPr>
            <w:r>
              <w:rPr>
                <w:rFonts w:ascii="Arial" w:cs="Arial" w:eastAsia="Arial" w:hAnsi="Arial"/>
                <w:sz w:val="14"/>
                <w:szCs w:val="14"/>
                <w:color w:val="auto"/>
              </w:rPr>
              <w:t>1,194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tcPr>
          <w:p>
            <w:pPr>
              <w:ind w:left="60"/>
              <w:spacing w:after="0"/>
              <w:rPr>
                <w:sz w:val="20"/>
                <w:szCs w:val="20"/>
                <w:color w:val="auto"/>
              </w:rPr>
            </w:pPr>
            <w:r>
              <w:rPr>
                <w:rFonts w:ascii="Arial" w:cs="Arial" w:eastAsia="Arial" w:hAnsi="Arial"/>
                <w:sz w:val="14"/>
                <w:szCs w:val="14"/>
                <w:color w:val="auto"/>
              </w:rPr>
              <w:t>Asia Pacific</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54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70</w:t>
            </w:r>
          </w:p>
        </w:tc>
        <w:tc>
          <w:tcPr>
            <w:tcW w:w="620" w:type="dxa"/>
            <w:vAlign w:val="bottom"/>
          </w:tcPr>
          <w:p>
            <w:pPr>
              <w:jc w:val="right"/>
              <w:spacing w:after="0"/>
              <w:rPr>
                <w:sz w:val="20"/>
                <w:szCs w:val="20"/>
                <w:color w:val="auto"/>
              </w:rPr>
            </w:pPr>
            <w:r>
              <w:rPr>
                <w:rFonts w:ascii="Arial" w:cs="Arial" w:eastAsia="Arial" w:hAnsi="Arial"/>
                <w:sz w:val="14"/>
                <w:szCs w:val="14"/>
                <w:color w:val="auto"/>
              </w:rPr>
              <w:t>154</w:t>
            </w:r>
          </w:p>
        </w:tc>
        <w:tc>
          <w:tcPr>
            <w:tcW w:w="740" w:type="dxa"/>
            <w:vAlign w:val="bottom"/>
          </w:tcPr>
          <w:p>
            <w:pPr>
              <w:jc w:val="right"/>
              <w:spacing w:after="0"/>
              <w:rPr>
                <w:sz w:val="20"/>
                <w:szCs w:val="20"/>
                <w:color w:val="auto"/>
              </w:rPr>
            </w:pPr>
            <w:r>
              <w:rPr>
                <w:rFonts w:ascii="Arial" w:cs="Arial" w:eastAsia="Arial" w:hAnsi="Arial"/>
                <w:sz w:val="14"/>
                <w:szCs w:val="14"/>
                <w:color w:val="auto"/>
              </w:rPr>
              <w:t>342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580" w:type="dxa"/>
            <w:vAlign w:val="bottom"/>
            <w:vMerge w:val="restart"/>
          </w:tcPr>
          <w:p>
            <w:pPr>
              <w:ind w:left="60"/>
              <w:spacing w:after="0"/>
              <w:rPr>
                <w:sz w:val="20"/>
                <w:szCs w:val="20"/>
                <w:color w:val="auto"/>
              </w:rPr>
            </w:pPr>
            <w:r>
              <w:rPr>
                <w:rFonts w:ascii="Arial" w:cs="Arial" w:eastAsia="Arial" w:hAnsi="Arial"/>
                <w:sz w:val="14"/>
                <w:szCs w:val="14"/>
                <w:color w:val="auto"/>
              </w:rPr>
              <w:t>Corporate and Other</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25</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32</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27</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5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capital expenditures and investments</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3,378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3,286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2,866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Capitalized interest included in total capital</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i w:val="1"/>
                <w:iCs w:val="1"/>
                <w:color w:val="auto"/>
              </w:rPr>
              <w:t>80</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i w:val="1"/>
                <w:iCs w:val="1"/>
                <w:color w:val="auto"/>
              </w:rPr>
              <w:t>92</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i w:val="1"/>
                <w:iCs w:val="1"/>
                <w:color w:val="auto"/>
              </w:rPr>
              <w:t>102</w:t>
            </w:r>
          </w:p>
        </w:tc>
        <w:tc>
          <w:tcPr>
            <w:tcW w:w="62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110</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384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80" w:type="dxa"/>
            <w:vAlign w:val="bottom"/>
          </w:tcPr>
          <w:p>
            <w:pPr>
              <w:ind w:left="20"/>
              <w:spacing w:after="0"/>
              <w:rPr>
                <w:sz w:val="20"/>
                <w:szCs w:val="20"/>
                <w:color w:val="auto"/>
              </w:rPr>
            </w:pPr>
            <w:r>
              <w:rPr>
                <w:rFonts w:ascii="Arial" w:cs="Arial" w:eastAsia="Arial" w:hAnsi="Arial"/>
                <w:sz w:val="14"/>
                <w:szCs w:val="14"/>
                <w:i w:val="1"/>
                <w:iCs w:val="1"/>
                <w:color w:val="auto"/>
              </w:rPr>
              <w:t>expenditures and investments</w:t>
            </w:r>
          </w:p>
        </w:tc>
        <w:tc>
          <w:tcPr>
            <w:tcW w:w="9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jc w:val="right"/>
              <w:ind w:right="2228"/>
              <w:spacing w:after="0"/>
              <w:rPr>
                <w:sz w:val="20"/>
                <w:szCs w:val="20"/>
                <w:color w:val="auto"/>
              </w:rPr>
            </w:pPr>
            <w:r>
              <w:rPr>
                <w:rFonts w:ascii="Arial" w:cs="Arial" w:eastAsia="Arial" w:hAnsi="Arial"/>
                <w:sz w:val="14"/>
                <w:szCs w:val="14"/>
                <w:color w:val="auto"/>
              </w:rPr>
              <w:t>(114)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20" w:type="dxa"/>
            <w:vAlign w:val="bottom"/>
          </w:tcPr>
          <w:p>
            <w:pPr>
              <w:spacing w:after="0"/>
              <w:rPr>
                <w:sz w:val="17"/>
                <w:szCs w:val="17"/>
                <w:color w:val="auto"/>
              </w:rPr>
            </w:pPr>
          </w:p>
        </w:tc>
      </w:tr>
      <w:tr>
        <w:trPr>
          <w:trHeight w:val="194"/>
        </w:trPr>
        <w:tc>
          <w:tcPr>
            <w:tcW w:w="3020" w:type="dxa"/>
            <w:vAlign w:val="bottom"/>
          </w:tcPr>
          <w:p>
            <w:pPr>
              <w:jc w:val="right"/>
              <w:ind w:right="2228"/>
              <w:spacing w:after="0"/>
              <w:rPr>
                <w:sz w:val="20"/>
                <w:szCs w:val="20"/>
                <w:color w:val="auto"/>
              </w:rPr>
            </w:pPr>
            <w:r>
              <w:rPr>
                <w:rFonts w:ascii="Arial" w:cs="Arial" w:eastAsia="Arial" w:hAnsi="Arial"/>
                <w:sz w:val="14"/>
                <w:szCs w:val="14"/>
                <w:color w:val="auto"/>
              </w:rPr>
              <w:t>(35)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6"/>
                <w:szCs w:val="16"/>
                <w:color w:val="auto"/>
              </w:rPr>
            </w:pPr>
          </w:p>
        </w:tc>
      </w:tr>
      <w:tr>
        <w:trPr>
          <w:trHeight w:val="203"/>
        </w:trPr>
        <w:tc>
          <w:tcPr>
            <w:tcW w:w="3020" w:type="dxa"/>
            <w:vAlign w:val="bottom"/>
          </w:tcPr>
          <w:p>
            <w:pPr>
              <w:jc w:val="right"/>
              <w:ind w:right="2228"/>
              <w:spacing w:after="0"/>
              <w:rPr>
                <w:sz w:val="20"/>
                <w:szCs w:val="20"/>
                <w:color w:val="auto"/>
              </w:rPr>
            </w:pPr>
            <w:r>
              <w:rPr>
                <w:rFonts w:ascii="Arial" w:cs="Arial" w:eastAsia="Arial" w:hAnsi="Arial"/>
                <w:sz w:val="14"/>
                <w:szCs w:val="14"/>
                <w:color w:val="auto"/>
              </w:rPr>
              <w:t>(1,006)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28"/>
              <w:spacing w:after="0"/>
              <w:rPr>
                <w:sz w:val="20"/>
                <w:szCs w:val="20"/>
                <w:color w:val="auto"/>
              </w:rPr>
            </w:pPr>
            <w:r>
              <w:rPr>
                <w:rFonts w:ascii="Arial" w:cs="Arial" w:eastAsia="Arial" w:hAnsi="Arial"/>
                <w:sz w:val="14"/>
                <w:szCs w:val="14"/>
                <w:color w:val="auto"/>
              </w:rPr>
              <w:t>(1,032)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20" w:type="dxa"/>
            <w:vAlign w:val="bottom"/>
            <w:shd w:val="clear" w:color="auto" w:fill="CCEEFF"/>
          </w:tcPr>
          <w:p>
            <w:pPr>
              <w:spacing w:after="0"/>
              <w:rPr>
                <w:sz w:val="17"/>
                <w:szCs w:val="17"/>
                <w:color w:val="auto"/>
              </w:rPr>
            </w:pPr>
          </w:p>
        </w:tc>
      </w:tr>
      <w:tr>
        <w:trPr>
          <w:trHeight w:val="20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shd w:val="clear" w:color="auto" w:fill="CCEEFF"/>
          </w:tcPr>
          <w:p>
            <w:pPr>
              <w:spacing w:after="0"/>
              <w:rPr>
                <w:sz w:val="17"/>
                <w:szCs w:val="17"/>
                <w:color w:val="auto"/>
              </w:rPr>
            </w:pPr>
          </w:p>
        </w:tc>
      </w:tr>
      <w:tr>
        <w:trPr>
          <w:trHeight w:val="207"/>
        </w:trPr>
        <w:tc>
          <w:tcPr>
            <w:tcW w:w="3020" w:type="dxa"/>
            <w:vAlign w:val="bottom"/>
            <w:tcBorders>
              <w:bottom w:val="single" w:sz="8" w:color="auto"/>
            </w:tcBorders>
          </w:tcPr>
          <w:p>
            <w:pPr>
              <w:jc w:val="right"/>
              <w:ind w:right="2228"/>
              <w:spacing w:after="0"/>
              <w:rPr>
                <w:sz w:val="20"/>
                <w:szCs w:val="20"/>
                <w:color w:val="auto"/>
              </w:rPr>
            </w:pPr>
            <w:r>
              <w:rPr>
                <w:rFonts w:ascii="Arial" w:cs="Arial" w:eastAsia="Arial" w:hAnsi="Arial"/>
                <w:sz w:val="14"/>
                <w:szCs w:val="14"/>
                <w:color w:val="auto"/>
              </w:rPr>
              <w:t>(2,186)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(2,186)</w:t>
            </w:r>
          </w:p>
        </w:tc>
        <w:tc>
          <w:tcPr>
            <w:tcW w:w="20" w:type="dxa"/>
            <w:vAlign w:val="bottom"/>
            <w:tcBorders>
              <w:bottom w:val="single" w:sz="8" w:color="auto"/>
            </w:tcBorders>
            <w:shd w:val="clear" w:color="auto" w:fill="CCEEFF"/>
          </w:tcPr>
          <w:p>
            <w:pPr>
              <w:spacing w:after="0"/>
              <w:rPr>
                <w:sz w:val="18"/>
                <w:szCs w:val="18"/>
                <w:color w:val="auto"/>
              </w:rPr>
            </w:pPr>
          </w:p>
        </w:tc>
      </w:tr>
      <w:tr>
        <w:trPr>
          <w:trHeight w:val="333"/>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29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tcBorders>
              <w:bottom w:val="single" w:sz="8" w:color="auto"/>
            </w:tcBorders>
            <w:shd w:val="clear" w:color="auto" w:fill="CCEEFF"/>
          </w:tcPr>
          <w:p>
            <w:pPr>
              <w:spacing w:after="0"/>
              <w:rPr>
                <w:sz w:val="24"/>
                <w:szCs w:val="24"/>
                <w:color w:val="auto"/>
              </w:rPr>
            </w:pPr>
          </w:p>
        </w:tc>
      </w:tr>
      <w:tr>
        <w:trPr>
          <w:trHeight w:val="462"/>
        </w:trPr>
        <w:tc>
          <w:tcPr>
            <w:tcW w:w="3020" w:type="dxa"/>
            <w:vAlign w:val="bottom"/>
          </w:tcPr>
          <w:p>
            <w:pPr>
              <w:jc w:val="right"/>
              <w:ind w:right="2228"/>
              <w:spacing w:after="0"/>
              <w:rPr>
                <w:sz w:val="20"/>
                <w:szCs w:val="20"/>
                <w:color w:val="auto"/>
              </w:rPr>
            </w:pPr>
            <w:r>
              <w:rPr>
                <w:rFonts w:ascii="Arial" w:cs="Arial" w:eastAsia="Arial" w:hAnsi="Arial"/>
                <w:sz w:val="14"/>
                <w:szCs w:val="14"/>
                <w:color w:val="auto"/>
              </w:rPr>
              <w:t>(670)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20" w:type="dxa"/>
            <w:vAlign w:val="bottom"/>
            <w:shd w:val="clear" w:color="auto" w:fill="CCEEFF"/>
          </w:tcPr>
          <w:p>
            <w:pPr>
              <w:spacing w:after="0"/>
              <w:rPr>
                <w:sz w:val="24"/>
                <w:szCs w:val="24"/>
                <w:color w:val="auto"/>
              </w:rPr>
            </w:pPr>
          </w:p>
        </w:tc>
      </w:tr>
      <w:tr>
        <w:trPr>
          <w:trHeight w:val="342"/>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6,916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20" w:type="dxa"/>
            <w:vAlign w:val="bottom"/>
            <w:tcBorders>
              <w:bottom w:val="single" w:sz="8" w:color="auto"/>
            </w:tcBorders>
            <w:shd w:val="clear" w:color="auto" w:fill="CCEEFF"/>
          </w:tcPr>
          <w:p>
            <w:pPr>
              <w:spacing w:after="0"/>
              <w:rPr>
                <w:sz w:val="24"/>
                <w:szCs w:val="24"/>
                <w:color w:val="auto"/>
              </w:rPr>
            </w:pPr>
          </w:p>
        </w:tc>
      </w:tr>
      <w:tr>
        <w:trPr>
          <w:trHeight w:val="351"/>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6,246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6,246</w:t>
            </w:r>
          </w:p>
        </w:tc>
        <w:tc>
          <w:tcPr>
            <w:tcW w:w="20" w:type="dxa"/>
            <w:vAlign w:val="bottom"/>
            <w:tcBorders>
              <w:bottom w:val="single" w:sz="8" w:color="auto"/>
            </w:tcBorders>
            <w:shd w:val="clear" w:color="auto" w:fill="CCEEFF"/>
          </w:tcPr>
          <w:p>
            <w:pPr>
              <w:spacing w:after="0"/>
              <w:rPr>
                <w:sz w:val="24"/>
                <w:szCs w:val="24"/>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-16510</wp:posOffset>
            </wp:positionV>
            <wp:extent cx="480060" cy="1731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00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949</w:t>
            </w:r>
          </w:p>
        </w:tc>
        <w:tc>
          <w:tcPr>
            <w:tcW w:w="740" w:type="dxa"/>
            <w:vAlign w:val="bottom"/>
          </w:tcPr>
          <w:p>
            <w:pPr>
              <w:jc w:val="right"/>
              <w:spacing w:after="0"/>
              <w:rPr>
                <w:sz w:val="20"/>
                <w:szCs w:val="20"/>
                <w:color w:val="auto"/>
              </w:rPr>
            </w:pPr>
            <w:r>
              <w:rPr>
                <w:rFonts w:ascii="Arial" w:cs="Arial" w:eastAsia="Arial" w:hAnsi="Arial"/>
                <w:sz w:val="14"/>
                <w:szCs w:val="14"/>
                <w:color w:val="auto"/>
              </w:rPr>
              <w:t>949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1,505</w:t>
            </w:r>
          </w:p>
        </w:tc>
        <w:tc>
          <w:tcPr>
            <w:tcW w:w="740" w:type="dxa"/>
            <w:vAlign w:val="bottom"/>
          </w:tcPr>
          <w:p>
            <w:pPr>
              <w:jc w:val="right"/>
              <w:spacing w:after="0"/>
              <w:rPr>
                <w:sz w:val="20"/>
                <w:szCs w:val="20"/>
                <w:color w:val="auto"/>
              </w:rPr>
            </w:pPr>
            <w:r>
              <w:rPr>
                <w:rFonts w:ascii="Arial" w:cs="Arial" w:eastAsia="Arial" w:hAnsi="Arial"/>
                <w:sz w:val="14"/>
                <w:szCs w:val="14"/>
                <w:color w:val="auto"/>
              </w:rPr>
              <w:t>1,505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121</w:t>
            </w:r>
          </w:p>
        </w:tc>
        <w:tc>
          <w:tcPr>
            <w:tcW w:w="740" w:type="dxa"/>
            <w:vAlign w:val="bottom"/>
          </w:tcPr>
          <w:p>
            <w:pPr>
              <w:jc w:val="right"/>
              <w:spacing w:after="0"/>
              <w:rPr>
                <w:sz w:val="20"/>
                <w:szCs w:val="20"/>
                <w:color w:val="auto"/>
              </w:rPr>
            </w:pPr>
            <w:r>
              <w:rPr>
                <w:rFonts w:ascii="Arial" w:cs="Arial" w:eastAsia="Arial" w:hAnsi="Arial"/>
                <w:sz w:val="14"/>
                <w:szCs w:val="14"/>
                <w:color w:val="auto"/>
              </w:rPr>
              <w:t>121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262</w:t>
            </w:r>
          </w:p>
        </w:tc>
        <w:tc>
          <w:tcPr>
            <w:tcW w:w="740" w:type="dxa"/>
            <w:vAlign w:val="bottom"/>
          </w:tcPr>
          <w:p>
            <w:pPr>
              <w:jc w:val="right"/>
              <w:spacing w:after="0"/>
              <w:rPr>
                <w:sz w:val="20"/>
                <w:szCs w:val="20"/>
                <w:color w:val="auto"/>
              </w:rPr>
            </w:pPr>
            <w:r>
              <w:rPr>
                <w:rFonts w:ascii="Arial" w:cs="Arial" w:eastAsia="Arial" w:hAnsi="Arial"/>
                <w:sz w:val="14"/>
                <w:szCs w:val="14"/>
                <w:color w:val="auto"/>
              </w:rPr>
              <w:t>262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82</w:t>
            </w:r>
          </w:p>
        </w:tc>
        <w:tc>
          <w:tcPr>
            <w:tcW w:w="740" w:type="dxa"/>
            <w:vAlign w:val="bottom"/>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20" w:type="dxa"/>
            <w:vAlign w:val="bottom"/>
            <w:vMerge w:val="restart"/>
          </w:tcPr>
          <w:p>
            <w:pPr>
              <w:jc w:val="right"/>
              <w:ind w:right="2268"/>
              <w:spacing w:after="0"/>
              <w:rPr>
                <w:sz w:val="20"/>
                <w:szCs w:val="20"/>
                <w:color w:val="auto"/>
              </w:rPr>
            </w:pPr>
            <w:r>
              <w:rPr>
                <w:rFonts w:ascii="Arial" w:cs="Arial" w:eastAsia="Arial" w:hAnsi="Arial"/>
                <w:sz w:val="14"/>
                <w:szCs w:val="14"/>
                <w:color w:val="auto"/>
              </w:rPr>
              <w:t>29</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0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2,948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3020" w:type="dxa"/>
            <w:vAlign w:val="bottom"/>
          </w:tcPr>
          <w:p>
            <w:pPr>
              <w:jc w:val="right"/>
              <w:ind w:right="2268"/>
              <w:spacing w:after="0"/>
              <w:rPr>
                <w:sz w:val="20"/>
                <w:szCs w:val="20"/>
                <w:color w:val="auto"/>
              </w:rPr>
            </w:pPr>
            <w:r>
              <w:rPr>
                <w:rFonts w:ascii="Arial" w:cs="Arial" w:eastAsia="Arial" w:hAnsi="Arial"/>
                <w:sz w:val="14"/>
                <w:szCs w:val="14"/>
                <w:i w:val="1"/>
                <w:iCs w:val="1"/>
                <w:color w:val="auto"/>
              </w:rPr>
              <w:t>120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120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380" w:space="80"/>
            <w:col w:w="3780"/>
          </w:cols>
          <w:pgMar w:left="320" w:top="1143" w:right="339" w:bottom="1440" w:gutter="0" w:footer="0" w:header="0"/>
          <w:type w:val="continuous"/>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5"/>
        </w:trPr>
        <w:tc>
          <w:tcPr>
            <w:tcW w:w="3600" w:type="dxa"/>
            <w:vAlign w:val="bottom"/>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3rd Qtr</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Full Year</w:t>
            </w: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b w:val="1"/>
                <w:bCs w:val="1"/>
                <w:color w:val="0000FF"/>
              </w:rPr>
              <w:t>TOTAL SEGMENTS</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Production</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7"/>
        </w:trPr>
        <w:tc>
          <w:tcPr>
            <w:tcW w:w="3600" w:type="dxa"/>
            <w:vAlign w:val="bottom"/>
          </w:tcPr>
          <w:p>
            <w:pPr>
              <w:ind w:left="20"/>
              <w:spacing w:after="0"/>
              <w:rPr>
                <w:sz w:val="20"/>
                <w:szCs w:val="20"/>
                <w:color w:val="auto"/>
              </w:rPr>
            </w:pPr>
            <w:r>
              <w:rPr>
                <w:rFonts w:ascii="Arial" w:cs="Arial" w:eastAsia="Arial" w:hAnsi="Arial"/>
                <w:sz w:val="14"/>
                <w:szCs w:val="14"/>
                <w:color w:val="auto"/>
              </w:rPr>
              <w:t>Total (MBOED)</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2,389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2,391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2,399</w:t>
            </w:r>
          </w:p>
        </w:tc>
        <w:tc>
          <w:tcPr>
            <w:tcW w:w="720" w:type="dxa"/>
            <w:vAlign w:val="bottom"/>
          </w:tcPr>
          <w:p>
            <w:pPr>
              <w:jc w:val="right"/>
              <w:spacing w:after="0"/>
              <w:rPr>
                <w:sz w:val="20"/>
                <w:szCs w:val="20"/>
                <w:color w:val="auto"/>
              </w:rPr>
            </w:pPr>
            <w:r>
              <w:rPr>
                <w:rFonts w:ascii="Arial" w:cs="Arial" w:eastAsia="Arial" w:hAnsi="Arial"/>
                <w:sz w:val="14"/>
                <w:szCs w:val="14"/>
                <w:color w:val="auto"/>
              </w:rPr>
              <w:t>2,320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Crude Oil (MBD)</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1,153</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1,144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1,133</w:t>
            </w:r>
          </w:p>
        </w:tc>
        <w:tc>
          <w:tcPr>
            <w:tcW w:w="720" w:type="dxa"/>
            <w:vAlign w:val="bottom"/>
          </w:tcPr>
          <w:p>
            <w:pPr>
              <w:jc w:val="right"/>
              <w:spacing w:after="0"/>
              <w:rPr>
                <w:sz w:val="20"/>
                <w:szCs w:val="20"/>
                <w:color w:val="auto"/>
              </w:rPr>
            </w:pPr>
            <w:r>
              <w:rPr>
                <w:rFonts w:ascii="Arial" w:cs="Arial" w:eastAsia="Arial" w:hAnsi="Arial"/>
                <w:sz w:val="14"/>
                <w:szCs w:val="14"/>
                <w:color w:val="auto"/>
              </w:rPr>
              <w:t>1,102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w:t>
            </w: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13"/>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w:t>
            </w:r>
          </w:p>
        </w:tc>
      </w:tr>
      <w:tr>
        <w:trPr>
          <w:trHeight w:val="309"/>
        </w:trPr>
        <w:tc>
          <w:tcPr>
            <w:tcW w:w="3600" w:type="dxa"/>
            <w:vAlign w:val="bottom"/>
          </w:tcPr>
          <w:p>
            <w:pPr>
              <w:ind w:left="20"/>
              <w:spacing w:after="0"/>
              <w:rPr>
                <w:sz w:val="20"/>
                <w:szCs w:val="20"/>
                <w:color w:val="auto"/>
              </w:rPr>
            </w:pPr>
            <w:r>
              <w:rPr>
                <w:rFonts w:ascii="Arial" w:cs="Arial" w:eastAsia="Arial" w:hAnsi="Arial"/>
                <w:sz w:val="14"/>
                <w:szCs w:val="14"/>
                <w:color w:val="auto"/>
              </w:rPr>
              <w:t>NGL (MBD)</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418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428</w:t>
            </w:r>
          </w:p>
        </w:tc>
        <w:tc>
          <w:tcPr>
            <w:tcW w:w="720" w:type="dxa"/>
            <w:vAlign w:val="bottom"/>
          </w:tcPr>
          <w:p>
            <w:pPr>
              <w:jc w:val="right"/>
              <w:spacing w:after="0"/>
              <w:rPr>
                <w:sz w:val="20"/>
                <w:szCs w:val="20"/>
                <w:color w:val="auto"/>
              </w:rPr>
            </w:pPr>
            <w:r>
              <w:rPr>
                <w:rFonts w:ascii="Arial" w:cs="Arial" w:eastAsia="Arial" w:hAnsi="Arial"/>
                <w:sz w:val="14"/>
                <w:szCs w:val="14"/>
                <w:color w:val="auto"/>
              </w:rPr>
              <w:t>405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41"/>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402</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r>
      <w:tr>
        <w:trPr>
          <w:trHeight w:val="309"/>
        </w:trPr>
        <w:tc>
          <w:tcPr>
            <w:tcW w:w="3600" w:type="dxa"/>
            <w:vAlign w:val="bottom"/>
          </w:tcPr>
          <w:p>
            <w:pPr>
              <w:ind w:left="20"/>
              <w:spacing w:after="0"/>
              <w:rPr>
                <w:sz w:val="20"/>
                <w:szCs w:val="20"/>
                <w:color w:val="auto"/>
              </w:rPr>
            </w:pPr>
            <w:r>
              <w:rPr>
                <w:rFonts w:ascii="Arial" w:cs="Arial" w:eastAsia="Arial" w:hAnsi="Arial"/>
                <w:sz w:val="14"/>
                <w:szCs w:val="14"/>
                <w:color w:val="auto"/>
              </w:rPr>
              <w:t>Bitumen (MBD)</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240"/>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310"/>
        </w:trPr>
        <w:tc>
          <w:tcPr>
            <w:tcW w:w="3600" w:type="dxa"/>
            <w:vAlign w:val="bottom"/>
          </w:tcPr>
          <w:p>
            <w:pPr>
              <w:ind w:left="20"/>
              <w:spacing w:after="0"/>
              <w:rPr>
                <w:sz w:val="20"/>
                <w:szCs w:val="20"/>
                <w:color w:val="auto"/>
              </w:rPr>
            </w:pPr>
            <w:r>
              <w:rPr>
                <w:rFonts w:ascii="Arial" w:cs="Arial" w:eastAsia="Arial" w:hAnsi="Arial"/>
                <w:sz w:val="14"/>
                <w:szCs w:val="14"/>
                <w:color w:val="auto"/>
              </w:rPr>
              <w:t>Natural Gas (MMCFD)</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2,840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2,855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2,941</w:t>
            </w:r>
          </w:p>
        </w:tc>
        <w:tc>
          <w:tcPr>
            <w:tcW w:w="720" w:type="dxa"/>
            <w:vAlign w:val="bottom"/>
          </w:tcPr>
          <w:p>
            <w:pPr>
              <w:jc w:val="right"/>
              <w:spacing w:after="0"/>
              <w:rPr>
                <w:sz w:val="20"/>
                <w:szCs w:val="20"/>
                <w:color w:val="auto"/>
              </w:rPr>
            </w:pPr>
            <w:r>
              <w:rPr>
                <w:rFonts w:ascii="Arial" w:cs="Arial" w:eastAsia="Arial" w:hAnsi="Arial"/>
                <w:sz w:val="14"/>
                <w:szCs w:val="14"/>
                <w:color w:val="auto"/>
              </w:rPr>
              <w:t>2,796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2,859</w:t>
            </w:r>
          </w:p>
        </w:tc>
      </w:tr>
      <w:tr>
        <w:trPr>
          <w:trHeight w:val="20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w:t>
            </w:r>
          </w:p>
        </w:tc>
      </w:tr>
      <w:tr>
        <w:trPr>
          <w:trHeight w:val="241"/>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4,065</w:t>
            </w:r>
          </w:p>
        </w:tc>
      </w:tr>
      <w:tr>
        <w:trPr>
          <w:trHeight w:val="315"/>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Industry Prices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7"/>
        </w:trPr>
        <w:tc>
          <w:tcPr>
            <w:tcW w:w="3600" w:type="dxa"/>
            <w:vAlign w:val="bottom"/>
          </w:tcPr>
          <w:p>
            <w:pPr>
              <w:ind w:left="20"/>
              <w:spacing w:after="0"/>
              <w:rPr>
                <w:sz w:val="20"/>
                <w:szCs w:val="20"/>
                <w:color w:val="auto"/>
              </w:rPr>
            </w:pPr>
            <w:r>
              <w:rPr>
                <w:rFonts w:ascii="Arial" w:cs="Arial" w:eastAsia="Arial" w:hAnsi="Arial"/>
                <w:sz w:val="14"/>
                <w:szCs w:val="14"/>
                <w:color w:val="auto"/>
              </w:rPr>
              <w:t>Crude Oil ($/BBL)</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WTI</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71.42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63.74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64.93</w:t>
            </w:r>
          </w:p>
        </w:tc>
        <w:tc>
          <w:tcPr>
            <w:tcW w:w="720" w:type="dxa"/>
            <w:vAlign w:val="bottom"/>
          </w:tcPr>
          <w:p>
            <w:pPr>
              <w:jc w:val="right"/>
              <w:spacing w:after="0"/>
              <w:rPr>
                <w:sz w:val="20"/>
                <w:szCs w:val="20"/>
                <w:color w:val="auto"/>
              </w:rPr>
            </w:pPr>
            <w:r>
              <w:rPr>
                <w:rFonts w:ascii="Arial" w:cs="Arial" w:eastAsia="Arial" w:hAnsi="Arial"/>
                <w:sz w:val="14"/>
                <w:szCs w:val="14"/>
                <w:color w:val="auto"/>
              </w:rPr>
              <w:t>59.14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64.81</w:t>
            </w: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WCS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58.75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53.52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54.54</w:t>
            </w:r>
          </w:p>
        </w:tc>
        <w:tc>
          <w:tcPr>
            <w:tcW w:w="720" w:type="dxa"/>
            <w:vAlign w:val="bottom"/>
          </w:tcPr>
          <w:p>
            <w:pPr>
              <w:jc w:val="right"/>
              <w:spacing w:after="0"/>
              <w:rPr>
                <w:sz w:val="20"/>
                <w:szCs w:val="20"/>
                <w:color w:val="auto"/>
              </w:rPr>
            </w:pPr>
            <w:r>
              <w:rPr>
                <w:rFonts w:ascii="Arial" w:cs="Arial" w:eastAsia="Arial" w:hAnsi="Arial"/>
                <w:sz w:val="14"/>
                <w:szCs w:val="14"/>
                <w:color w:val="auto"/>
              </w:rPr>
              <w:t>47.95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53.69</w:t>
            </w: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Brent dated</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75.66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67.82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69.07</w:t>
            </w:r>
          </w:p>
        </w:tc>
        <w:tc>
          <w:tcPr>
            <w:tcW w:w="720" w:type="dxa"/>
            <w:vAlign w:val="bottom"/>
          </w:tcPr>
          <w:p>
            <w:pPr>
              <w:jc w:val="right"/>
              <w:spacing w:after="0"/>
              <w:rPr>
                <w:sz w:val="20"/>
                <w:szCs w:val="20"/>
                <w:color w:val="auto"/>
              </w:rPr>
            </w:pPr>
            <w:r>
              <w:rPr>
                <w:rFonts w:ascii="Arial" w:cs="Arial" w:eastAsia="Arial" w:hAnsi="Arial"/>
                <w:sz w:val="14"/>
                <w:szCs w:val="14"/>
                <w:color w:val="auto"/>
              </w:rPr>
              <w:t>63.69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69.06</w:t>
            </w: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JCC ($/BBL)</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78.31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78.84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74.92</w:t>
            </w:r>
          </w:p>
        </w:tc>
        <w:tc>
          <w:tcPr>
            <w:tcW w:w="720" w:type="dxa"/>
            <w:vAlign w:val="bottom"/>
          </w:tcPr>
          <w:p>
            <w:pPr>
              <w:jc w:val="right"/>
              <w:spacing w:after="0"/>
              <w:rPr>
                <w:sz w:val="20"/>
                <w:szCs w:val="20"/>
                <w:color w:val="auto"/>
              </w:rPr>
            </w:pPr>
            <w:r>
              <w:rPr>
                <w:rFonts w:ascii="Arial" w:cs="Arial" w:eastAsia="Arial" w:hAnsi="Arial"/>
                <w:sz w:val="14"/>
                <w:szCs w:val="14"/>
                <w:color w:val="auto"/>
              </w:rPr>
              <w:t>72.20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76.07</w:t>
            </w:r>
          </w:p>
        </w:tc>
      </w:tr>
      <w:tr>
        <w:trPr>
          <w:trHeight w:val="202"/>
        </w:trPr>
        <w:tc>
          <w:tcPr>
            <w:tcW w:w="3600" w:type="dxa"/>
            <w:vAlign w:val="bottom"/>
          </w:tcPr>
          <w:p>
            <w:pPr>
              <w:ind w:left="20"/>
              <w:spacing w:after="0"/>
              <w:rPr>
                <w:sz w:val="20"/>
                <w:szCs w:val="20"/>
                <w:color w:val="auto"/>
              </w:rPr>
            </w:pPr>
            <w:r>
              <w:rPr>
                <w:rFonts w:ascii="Arial" w:cs="Arial" w:eastAsia="Arial" w:hAnsi="Arial"/>
                <w:sz w:val="14"/>
                <w:szCs w:val="14"/>
                <w:color w:val="auto"/>
              </w:rPr>
              <w:t>Natural Gas ($/MMBTU)</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Henry Hub first of month</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r>
      <w:tr>
        <w:trPr>
          <w:trHeight w:val="333"/>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Average Realized Prices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6"/>
        </w:trPr>
        <w:tc>
          <w:tcPr>
            <w:tcW w:w="3600" w:type="dxa"/>
            <w:vAlign w:val="bottom"/>
          </w:tcPr>
          <w:p>
            <w:pPr>
              <w:ind w:left="20"/>
              <w:spacing w:after="0"/>
              <w:rPr>
                <w:sz w:val="20"/>
                <w:szCs w:val="20"/>
                <w:color w:val="auto"/>
              </w:rPr>
            </w:pPr>
            <w:r>
              <w:rPr>
                <w:rFonts w:ascii="Arial" w:cs="Arial" w:eastAsia="Arial" w:hAnsi="Arial"/>
                <w:sz w:val="14"/>
                <w:szCs w:val="14"/>
                <w:color w:val="auto"/>
              </w:rPr>
              <w:t>Total ($/BOE)</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53.34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45.77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46.44</w:t>
            </w:r>
          </w:p>
        </w:tc>
        <w:tc>
          <w:tcPr>
            <w:tcW w:w="720" w:type="dxa"/>
            <w:vAlign w:val="bottom"/>
          </w:tcPr>
          <w:p>
            <w:pPr>
              <w:jc w:val="right"/>
              <w:spacing w:after="0"/>
              <w:rPr>
                <w:sz w:val="20"/>
                <w:szCs w:val="20"/>
                <w:color w:val="auto"/>
              </w:rPr>
            </w:pPr>
            <w:r>
              <w:rPr>
                <w:rFonts w:ascii="Arial" w:cs="Arial" w:eastAsia="Arial" w:hAnsi="Arial"/>
                <w:sz w:val="14"/>
                <w:szCs w:val="14"/>
                <w:color w:val="auto"/>
              </w:rPr>
              <w:t>42.46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47.01</w:t>
            </w: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color w:val="auto"/>
              </w:rPr>
              <w:t>Crude Oil ($/BBL)</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71.61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64.21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66.12</w:t>
            </w:r>
          </w:p>
        </w:tc>
        <w:tc>
          <w:tcPr>
            <w:tcW w:w="720" w:type="dxa"/>
            <w:vAlign w:val="bottom"/>
          </w:tcPr>
          <w:p>
            <w:pPr>
              <w:jc w:val="right"/>
              <w:spacing w:after="0"/>
              <w:rPr>
                <w:sz w:val="20"/>
                <w:szCs w:val="20"/>
                <w:color w:val="auto"/>
              </w:rPr>
            </w:pPr>
            <w:r>
              <w:rPr>
                <w:rFonts w:ascii="Arial" w:cs="Arial" w:eastAsia="Arial" w:hAnsi="Arial"/>
                <w:sz w:val="14"/>
                <w:szCs w:val="14"/>
                <w:color w:val="auto"/>
              </w:rPr>
              <w:t>60.15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65.58</w:t>
            </w: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75.57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68.94</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64.23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66.13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65.62</w:t>
            </w:r>
          </w:p>
        </w:tc>
      </w:tr>
      <w:tr>
        <w:trPr>
          <w:trHeight w:val="327"/>
        </w:trPr>
        <w:tc>
          <w:tcPr>
            <w:tcW w:w="3600" w:type="dxa"/>
            <w:vAlign w:val="bottom"/>
          </w:tcPr>
          <w:p>
            <w:pPr>
              <w:ind w:left="20"/>
              <w:spacing w:after="0"/>
              <w:rPr>
                <w:sz w:val="20"/>
                <w:szCs w:val="20"/>
                <w:color w:val="auto"/>
              </w:rPr>
            </w:pPr>
            <w:r>
              <w:rPr>
                <w:rFonts w:ascii="Arial" w:cs="Arial" w:eastAsia="Arial" w:hAnsi="Arial"/>
                <w:sz w:val="14"/>
                <w:szCs w:val="14"/>
                <w:color w:val="auto"/>
              </w:rPr>
              <w:t>NGL ($/BBL)</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24.86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20.51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18.71</w:t>
            </w:r>
          </w:p>
        </w:tc>
        <w:tc>
          <w:tcPr>
            <w:tcW w:w="720" w:type="dxa"/>
            <w:vAlign w:val="bottom"/>
          </w:tcPr>
          <w:p>
            <w:pPr>
              <w:jc w:val="right"/>
              <w:spacing w:after="0"/>
              <w:rPr>
                <w:sz w:val="20"/>
                <w:szCs w:val="20"/>
                <w:color w:val="auto"/>
              </w:rPr>
            </w:pPr>
            <w:r>
              <w:rPr>
                <w:rFonts w:ascii="Arial" w:cs="Arial" w:eastAsia="Arial" w:hAnsi="Arial"/>
                <w:sz w:val="14"/>
                <w:szCs w:val="14"/>
                <w:color w:val="auto"/>
              </w:rPr>
              <w:t>18.59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w:t>
            </w: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48.93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46.20</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w:t>
            </w:r>
          </w:p>
        </w:tc>
      </w:tr>
      <w:tr>
        <w:trPr>
          <w:trHeight w:val="327"/>
        </w:trPr>
        <w:tc>
          <w:tcPr>
            <w:tcW w:w="3600" w:type="dxa"/>
            <w:vAlign w:val="bottom"/>
          </w:tcPr>
          <w:p>
            <w:pPr>
              <w:ind w:left="20"/>
              <w:spacing w:after="0"/>
              <w:rPr>
                <w:sz w:val="20"/>
                <w:szCs w:val="20"/>
                <w:color w:val="auto"/>
              </w:rPr>
            </w:pPr>
            <w:r>
              <w:rPr>
                <w:rFonts w:ascii="Arial" w:cs="Arial" w:eastAsia="Arial" w:hAnsi="Arial"/>
                <w:sz w:val="14"/>
                <w:szCs w:val="14"/>
                <w:color w:val="auto"/>
              </w:rPr>
              <w:t>Bitumen ($/BBL)</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40.74</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40.74</w:t>
            </w:r>
          </w:p>
        </w:tc>
      </w:tr>
      <w:tr>
        <w:trPr>
          <w:trHeight w:val="327"/>
        </w:trPr>
        <w:tc>
          <w:tcPr>
            <w:tcW w:w="360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03"/>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3.11</w:t>
            </w:r>
          </w:p>
        </w:tc>
        <w:tc>
          <w:tcPr>
            <w:tcW w:w="720" w:type="dxa"/>
            <w:vAlign w:val="bottom"/>
          </w:tcPr>
          <w:p>
            <w:pPr>
              <w:jc w:val="right"/>
              <w:spacing w:after="0"/>
              <w:rPr>
                <w:sz w:val="20"/>
                <w:szCs w:val="20"/>
                <w:color w:val="auto"/>
              </w:rPr>
            </w:pPr>
            <w:r>
              <w:rPr>
                <w:rFonts w:ascii="Arial" w:cs="Arial" w:eastAsia="Arial" w:hAnsi="Arial"/>
                <w:sz w:val="14"/>
                <w:szCs w:val="14"/>
                <w:color w:val="auto"/>
              </w:rPr>
              <w:t>2.74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r>
      <w:tr>
        <w:trPr>
          <w:trHeight w:val="207"/>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5.62</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3rd Qtr</w:t>
            </w:r>
          </w:p>
        </w:tc>
        <w:tc>
          <w:tcPr>
            <w:tcW w:w="7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YTD</w:t>
            </w:r>
          </w:p>
        </w:tc>
      </w:tr>
      <w:tr>
        <w:trPr>
          <w:trHeight w:val="729"/>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2,309</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w:t>
            </w:r>
          </w:p>
        </w:tc>
      </w:tr>
      <w:tr>
        <w:trPr>
          <w:trHeight w:val="553"/>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1,100</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13"/>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1,111</w:t>
            </w:r>
          </w:p>
        </w:tc>
        <w:tc>
          <w:tcPr>
            <w:tcW w:w="7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w:t>
            </w:r>
          </w:p>
        </w:tc>
      </w:tr>
      <w:tr>
        <w:trPr>
          <w:trHeight w:val="512"/>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408</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41"/>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w:t>
            </w: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r>
      <w:tr>
        <w:trPr>
          <w:trHeight w:val="51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w:t>
            </w:r>
          </w:p>
        </w:tc>
        <w:tc>
          <w:tcPr>
            <w:tcW w:w="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240"/>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w:t>
            </w: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512"/>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2,822</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2,822</w:t>
            </w:r>
          </w:p>
        </w:tc>
      </w:tr>
      <w:tr>
        <w:trPr>
          <w:trHeight w:val="20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1,166</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r>
      <w:tr>
        <w:trPr>
          <w:trHeight w:val="241"/>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3,988</w:t>
            </w: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3,988</w:t>
            </w:r>
          </w:p>
        </w:tc>
      </w:tr>
      <w:tr>
        <w:trPr>
          <w:trHeight w:val="715"/>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71.93</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71.93</w:t>
            </w:r>
          </w:p>
        </w:tc>
      </w:tr>
      <w:tr>
        <w:trPr>
          <w:trHeight w:val="203"/>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57.76</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57.76</w:t>
            </w:r>
          </w:p>
        </w:tc>
      </w:tr>
      <w:tr>
        <w:trPr>
          <w:trHeight w:val="203"/>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80.61</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80.61</w:t>
            </w:r>
          </w:p>
        </w:tc>
      </w:tr>
      <w:tr>
        <w:trPr>
          <w:trHeight w:val="203"/>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71.72</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71.72</w:t>
            </w:r>
          </w:p>
        </w:tc>
      </w:tr>
      <w:tr>
        <w:trPr>
          <w:trHeight w:val="409"/>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5.05</w:t>
            </w:r>
          </w:p>
        </w:tc>
        <w:tc>
          <w:tcPr>
            <w:tcW w:w="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w:t>
            </w:r>
          </w:p>
        </w:tc>
      </w:tr>
      <w:tr>
        <w:trPr>
          <w:trHeight w:val="530"/>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50.36</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50.36</w:t>
            </w:r>
          </w:p>
        </w:tc>
      </w:tr>
      <w:tr>
        <w:trPr>
          <w:trHeight w:val="553"/>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73.52</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73.52</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68.79</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68.79</w:t>
            </w:r>
          </w:p>
        </w:tc>
      </w:tr>
      <w:tr>
        <w:trPr>
          <w:trHeight w:val="19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73.47</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73.47</w:t>
            </w:r>
          </w:p>
        </w:tc>
      </w:tr>
      <w:tr>
        <w:trPr>
          <w:trHeight w:val="530"/>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20.06</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46.27</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46.27</w:t>
            </w:r>
          </w:p>
        </w:tc>
      </w:tr>
      <w:tr>
        <w:trPr>
          <w:trHeight w:val="19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20.42</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w:t>
            </w:r>
          </w:p>
        </w:tc>
      </w:tr>
      <w:tr>
        <w:trPr>
          <w:trHeight w:val="533"/>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50.37</w:t>
            </w:r>
          </w:p>
        </w:tc>
        <w:tc>
          <w:tcPr>
            <w:tcW w:w="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50.37</w:t>
            </w:r>
          </w:p>
        </w:tc>
      </w:tr>
      <w:tr>
        <w:trPr>
          <w:trHeight w:val="19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50.37</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50.37</w:t>
            </w:r>
          </w:p>
        </w:tc>
      </w:tr>
      <w:tr>
        <w:trPr>
          <w:trHeight w:val="530"/>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3.34</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5.87</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w:t>
            </w:r>
          </w:p>
        </w:tc>
      </w:tr>
      <w:tr>
        <w:trPr>
          <w:trHeight w:val="19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4.09</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w:t>
            </w:r>
          </w:p>
        </w:tc>
      </w:tr>
    </w:tbl>
    <w:p>
      <w:pPr>
        <w:sectPr>
          <w:pgSz w:w="11900" w:h="16838" w:orient="portrait"/>
          <w:cols w:equalWidth="0" w:num="2">
            <w:col w:w="7380" w:space="80"/>
            <w:col w:w="3780"/>
          </w:cols>
          <w:pgMar w:left="320" w:top="1143" w:right="3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5"/>
        </w:trPr>
        <w:tc>
          <w:tcPr>
            <w:tcW w:w="3600" w:type="dxa"/>
            <w:vAlign w:val="bottom"/>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3rd Qtr</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Full Year</w:t>
            </w: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Exploration Expenses ($ Millions)</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7"/>
        </w:trPr>
        <w:tc>
          <w:tcPr>
            <w:tcW w:w="3600" w:type="dxa"/>
            <w:vAlign w:val="bottom"/>
          </w:tcPr>
          <w:p>
            <w:pPr>
              <w:ind w:left="20"/>
              <w:spacing w:after="0"/>
              <w:rPr>
                <w:sz w:val="20"/>
                <w:szCs w:val="20"/>
                <w:color w:val="auto"/>
              </w:rPr>
            </w:pPr>
            <w:r>
              <w:rPr>
                <w:rFonts w:ascii="Arial" w:cs="Arial" w:eastAsia="Arial" w:hAnsi="Arial"/>
                <w:sz w:val="14"/>
                <w:szCs w:val="14"/>
                <w:color w:val="auto"/>
              </w:rPr>
              <w:t>Dry holes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20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Leasehold impairment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92"/>
        </w:trPr>
        <w:tc>
          <w:tcPr>
            <w:tcW w:w="3600" w:type="dxa"/>
            <w:vAlign w:val="bottom"/>
          </w:tcPr>
          <w:p>
            <w:pPr>
              <w:ind w:left="20"/>
              <w:spacing w:after="0"/>
              <w:rPr>
                <w:sz w:val="20"/>
                <w:szCs w:val="20"/>
                <w:color w:val="auto"/>
              </w:rPr>
            </w:pPr>
            <w:r>
              <w:rPr>
                <w:rFonts w:ascii="Arial" w:cs="Arial" w:eastAsia="Arial" w:hAnsi="Arial"/>
                <w:sz w:val="14"/>
                <w:szCs w:val="14"/>
                <w:color w:val="auto"/>
              </w:rPr>
              <w:t>Total noncash expenses</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720" w:type="dxa"/>
            <w:vAlign w:val="bottom"/>
          </w:tcPr>
          <w:p>
            <w:pPr>
              <w:jc w:val="right"/>
              <w:spacing w:after="0"/>
              <w:rPr>
                <w:sz w:val="20"/>
                <w:szCs w:val="20"/>
                <w:color w:val="auto"/>
              </w:rPr>
            </w:pPr>
            <w:r>
              <w:rPr>
                <w:rFonts w:ascii="Arial" w:cs="Arial" w:eastAsia="Arial" w:hAnsi="Arial"/>
                <w:sz w:val="14"/>
                <w:szCs w:val="14"/>
                <w:color w:val="auto"/>
              </w:rPr>
              <w:t>76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20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(G&amp;A, G&amp;G and lease rentals)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24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exploration expenses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r>
      <w:tr>
        <w:trPr>
          <w:trHeight w:val="381"/>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U.S. exploration expenses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9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International exploration expenses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-8255</wp:posOffset>
            </wp:positionV>
            <wp:extent cx="480060" cy="531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0060" cy="531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3rd Qtr</w:t>
            </w:r>
          </w:p>
        </w:tc>
        <w:tc>
          <w:tcPr>
            <w:tcW w:w="7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YTD</w:t>
            </w:r>
          </w:p>
        </w:tc>
      </w:tr>
      <w:tr>
        <w:trPr>
          <w:trHeight w:val="378"/>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2"/>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07"/>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40"/>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w:t>
            </w: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381"/>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w:t>
            </w:r>
          </w:p>
        </w:tc>
        <w:tc>
          <w:tcPr>
            <w:tcW w:w="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96"/>
        </w:trPr>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-8255</wp:posOffset>
            </wp:positionV>
            <wp:extent cx="480060" cy="531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0060" cy="531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80"/>
            <w:col w:w="3780"/>
          </w:cols>
          <w:pgMar w:left="320" w:top="1143" w:right="339" w:bottom="1440" w:gutter="0" w:footer="0" w:header="0"/>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DD&amp;A ($ Millions)</w:t>
            </w: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180" w:type="dxa"/>
            <w:vAlign w:val="bottom"/>
          </w:tcPr>
          <w:p>
            <w:pPr>
              <w:ind w:left="60"/>
              <w:spacing w:after="0"/>
              <w:rPr>
                <w:sz w:val="20"/>
                <w:szCs w:val="20"/>
                <w:color w:val="auto"/>
              </w:rPr>
            </w:pPr>
            <w:r>
              <w:rPr>
                <w:rFonts w:ascii="Arial" w:cs="Arial" w:eastAsia="Arial" w:hAnsi="Arial"/>
                <w:sz w:val="14"/>
                <w:szCs w:val="14"/>
                <w:color w:val="auto"/>
              </w:rPr>
              <w:t>Alaska</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355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361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327</w:t>
            </w:r>
          </w:p>
        </w:tc>
        <w:tc>
          <w:tcPr>
            <w:tcW w:w="620" w:type="dxa"/>
            <w:vAlign w:val="bottom"/>
          </w:tcPr>
          <w:p>
            <w:pPr>
              <w:jc w:val="right"/>
              <w:spacing w:after="0"/>
              <w:rPr>
                <w:sz w:val="20"/>
                <w:szCs w:val="20"/>
                <w:color w:val="auto"/>
              </w:rPr>
            </w:pPr>
            <w:r>
              <w:rPr>
                <w:rFonts w:ascii="Arial" w:cs="Arial" w:eastAsia="Arial" w:hAnsi="Arial"/>
                <w:sz w:val="14"/>
                <w:szCs w:val="14"/>
                <w:color w:val="auto"/>
              </w:rPr>
              <w:t>356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3120" w:type="dxa"/>
            <w:vAlign w:val="bottom"/>
            <w:gridSpan w:val="2"/>
          </w:tcPr>
          <w:p>
            <w:pPr>
              <w:jc w:val="right"/>
              <w:ind w:right="2268"/>
              <w:spacing w:after="0"/>
              <w:rPr>
                <w:sz w:val="20"/>
                <w:szCs w:val="20"/>
                <w:color w:val="auto"/>
              </w:rPr>
            </w:pPr>
            <w:r>
              <w:rPr>
                <w:rFonts w:ascii="Arial" w:cs="Arial" w:eastAsia="Arial" w:hAnsi="Arial"/>
                <w:sz w:val="14"/>
                <w:szCs w:val="14"/>
                <w:color w:val="auto"/>
              </w:rPr>
              <w:t>352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20" w:type="dxa"/>
            <w:vAlign w:val="bottom"/>
          </w:tcPr>
          <w:p>
            <w:pPr>
              <w:spacing w:after="0"/>
              <w:rPr>
                <w:sz w:val="17"/>
                <w:szCs w:val="17"/>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4"/>
                <w:szCs w:val="14"/>
                <w:color w:val="auto"/>
              </w:rPr>
              <w:t>Lower 48</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1,904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2,003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2,079</w:t>
            </w:r>
          </w:p>
        </w:tc>
        <w:tc>
          <w:tcPr>
            <w:tcW w:w="620" w:type="dxa"/>
            <w:vAlign w:val="bottom"/>
          </w:tcPr>
          <w:p>
            <w:pPr>
              <w:jc w:val="right"/>
              <w:spacing w:after="0"/>
              <w:rPr>
                <w:sz w:val="20"/>
                <w:szCs w:val="20"/>
                <w:color w:val="auto"/>
              </w:rPr>
            </w:pPr>
            <w:r>
              <w:rPr>
                <w:rFonts w:ascii="Arial" w:cs="Arial" w:eastAsia="Arial" w:hAnsi="Arial"/>
                <w:sz w:val="14"/>
                <w:szCs w:val="14"/>
                <w:color w:val="auto"/>
              </w:rPr>
              <w:t>2,135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8,121</w:t>
            </w:r>
          </w:p>
        </w:tc>
        <w:tc>
          <w:tcPr>
            <w:tcW w:w="3120" w:type="dxa"/>
            <w:vAlign w:val="bottom"/>
            <w:tcBorders>
              <w:left w:val="single" w:sz="8" w:color="CCEEFF"/>
            </w:tcBorders>
            <w:gridSpan w:val="2"/>
          </w:tcPr>
          <w:p>
            <w:pPr>
              <w:jc w:val="right"/>
              <w:ind w:right="2268"/>
              <w:spacing w:after="0"/>
              <w:rPr>
                <w:sz w:val="20"/>
                <w:szCs w:val="20"/>
                <w:color w:val="auto"/>
              </w:rPr>
            </w:pPr>
            <w:r>
              <w:rPr>
                <w:rFonts w:ascii="Arial" w:cs="Arial" w:eastAsia="Arial" w:hAnsi="Arial"/>
                <w:sz w:val="14"/>
                <w:szCs w:val="14"/>
                <w:color w:val="auto"/>
              </w:rPr>
              <w:t>2,051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w:t>
            </w:r>
          </w:p>
        </w:tc>
        <w:tc>
          <w:tcPr>
            <w:tcW w:w="20" w:type="dxa"/>
            <w:vAlign w:val="bottom"/>
            <w:shd w:val="clear" w:color="auto" w:fill="CCEEFF"/>
          </w:tcPr>
          <w:p>
            <w:pPr>
              <w:spacing w:after="0"/>
              <w:rPr>
                <w:sz w:val="17"/>
                <w:szCs w:val="17"/>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4"/>
                <w:szCs w:val="14"/>
                <w:color w:val="auto"/>
              </w:rPr>
              <w:t>Canada</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131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143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142</w:t>
            </w:r>
          </w:p>
        </w:tc>
        <w:tc>
          <w:tcPr>
            <w:tcW w:w="620" w:type="dxa"/>
            <w:vAlign w:val="bottom"/>
          </w:tcPr>
          <w:p>
            <w:pPr>
              <w:jc w:val="right"/>
              <w:spacing w:after="0"/>
              <w:rPr>
                <w:sz w:val="20"/>
                <w:szCs w:val="20"/>
                <w:color w:val="auto"/>
              </w:rPr>
            </w:pPr>
            <w:r>
              <w:rPr>
                <w:rFonts w:ascii="Arial" w:cs="Arial" w:eastAsia="Arial" w:hAnsi="Arial"/>
                <w:sz w:val="14"/>
                <w:szCs w:val="14"/>
                <w:color w:val="auto"/>
              </w:rPr>
              <w:t>140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3120" w:type="dxa"/>
            <w:vAlign w:val="bottom"/>
            <w:tcBorders>
              <w:left w:val="single" w:sz="8" w:color="CCEEFF"/>
            </w:tcBorders>
            <w:gridSpan w:val="2"/>
          </w:tcPr>
          <w:p>
            <w:pPr>
              <w:jc w:val="right"/>
              <w:ind w:right="2268"/>
              <w:spacing w:after="0"/>
              <w:rPr>
                <w:sz w:val="20"/>
                <w:szCs w:val="20"/>
                <w:color w:val="auto"/>
              </w:rPr>
            </w:pPr>
            <w:r>
              <w:rPr>
                <w:rFonts w:ascii="Arial" w:cs="Arial" w:eastAsia="Arial" w:hAnsi="Arial"/>
                <w:sz w:val="14"/>
                <w:szCs w:val="14"/>
                <w:color w:val="auto"/>
              </w:rPr>
              <w:t>152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20" w:type="dxa"/>
            <w:vAlign w:val="bottom"/>
            <w:shd w:val="clear" w:color="auto" w:fill="CCEEFF"/>
          </w:tcPr>
          <w:p>
            <w:pPr>
              <w:spacing w:after="0"/>
              <w:rPr>
                <w:sz w:val="17"/>
                <w:szCs w:val="17"/>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4"/>
                <w:szCs w:val="14"/>
                <w:color w:val="auto"/>
              </w:rPr>
              <w:t>Europe, Middle East and North Africa</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219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198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245</w:t>
            </w:r>
          </w:p>
        </w:tc>
        <w:tc>
          <w:tcPr>
            <w:tcW w:w="620" w:type="dxa"/>
            <w:vAlign w:val="bottom"/>
          </w:tcPr>
          <w:p>
            <w:pPr>
              <w:jc w:val="right"/>
              <w:spacing w:after="0"/>
              <w:rPr>
                <w:sz w:val="20"/>
                <w:szCs w:val="20"/>
                <w:color w:val="auto"/>
              </w:rPr>
            </w:pPr>
            <w:r>
              <w:rPr>
                <w:rFonts w:ascii="Arial" w:cs="Arial" w:eastAsia="Arial" w:hAnsi="Arial"/>
                <w:sz w:val="14"/>
                <w:szCs w:val="14"/>
                <w:color w:val="auto"/>
              </w:rPr>
              <w:t>250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3120" w:type="dxa"/>
            <w:vAlign w:val="bottom"/>
            <w:tcBorders>
              <w:left w:val="single" w:sz="8" w:color="CCEEFF"/>
            </w:tcBorders>
            <w:gridSpan w:val="2"/>
          </w:tcPr>
          <w:p>
            <w:pPr>
              <w:jc w:val="right"/>
              <w:ind w:right="2268"/>
              <w:spacing w:after="0"/>
              <w:rPr>
                <w:sz w:val="20"/>
                <w:szCs w:val="20"/>
                <w:color w:val="auto"/>
              </w:rPr>
            </w:pPr>
            <w:r>
              <w:rPr>
                <w:rFonts w:ascii="Arial" w:cs="Arial" w:eastAsia="Arial" w:hAnsi="Arial"/>
                <w:sz w:val="14"/>
                <w:szCs w:val="14"/>
                <w:color w:val="auto"/>
              </w:rPr>
              <w:t>239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20" w:type="dxa"/>
            <w:vAlign w:val="bottom"/>
            <w:shd w:val="clear" w:color="auto" w:fill="CCEEFF"/>
          </w:tcPr>
          <w:p>
            <w:pPr>
              <w:spacing w:after="0"/>
              <w:rPr>
                <w:sz w:val="17"/>
                <w:szCs w:val="17"/>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4"/>
                <w:szCs w:val="14"/>
                <w:color w:val="auto"/>
              </w:rPr>
              <w:t>Asia Pacific</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119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118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113</w:t>
            </w:r>
          </w:p>
        </w:tc>
        <w:tc>
          <w:tcPr>
            <w:tcW w:w="620" w:type="dxa"/>
            <w:vAlign w:val="bottom"/>
          </w:tcPr>
          <w:p>
            <w:pPr>
              <w:jc w:val="right"/>
              <w:spacing w:after="0"/>
              <w:rPr>
                <w:sz w:val="20"/>
                <w:szCs w:val="20"/>
                <w:color w:val="auto"/>
              </w:rPr>
            </w:pPr>
            <w:r>
              <w:rPr>
                <w:rFonts w:ascii="Arial" w:cs="Arial" w:eastAsia="Arial" w:hAnsi="Arial"/>
                <w:sz w:val="14"/>
                <w:szCs w:val="14"/>
                <w:color w:val="auto"/>
              </w:rPr>
              <w:t>110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3120" w:type="dxa"/>
            <w:vAlign w:val="bottom"/>
            <w:tcBorders>
              <w:left w:val="single" w:sz="8" w:color="CCEEFF"/>
            </w:tcBorders>
            <w:gridSpan w:val="2"/>
          </w:tcPr>
          <w:p>
            <w:pPr>
              <w:jc w:val="right"/>
              <w:ind w:right="2268"/>
              <w:spacing w:after="0"/>
              <w:rPr>
                <w:sz w:val="20"/>
                <w:szCs w:val="20"/>
                <w:color w:val="auto"/>
              </w:rPr>
            </w:pPr>
            <w:r>
              <w:rPr>
                <w:rFonts w:ascii="Arial" w:cs="Arial" w:eastAsia="Arial" w:hAnsi="Arial"/>
                <w:sz w:val="14"/>
                <w:szCs w:val="14"/>
                <w:color w:val="auto"/>
              </w:rPr>
              <w:t>103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2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Corporate and Other</w:t>
            </w: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left w:val="single" w:sz="8" w:color="CCEEFF"/>
            </w:tcBorders>
          </w:tcPr>
          <w:p>
            <w:pPr>
              <w:spacing w:after="0"/>
              <w:rPr>
                <w:sz w:val="17"/>
                <w:szCs w:val="17"/>
                <w:color w:val="auto"/>
              </w:rPr>
            </w:pPr>
          </w:p>
        </w:tc>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4"/>
                <w:szCs w:val="14"/>
                <w:color w:val="auto"/>
              </w:rPr>
              <w:t>Total DD&amp;A</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2,746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2,838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2,917</w:t>
            </w:r>
          </w:p>
        </w:tc>
        <w:tc>
          <w:tcPr>
            <w:tcW w:w="620" w:type="dxa"/>
            <w:vAlign w:val="bottom"/>
          </w:tcPr>
          <w:p>
            <w:pPr>
              <w:jc w:val="right"/>
              <w:spacing w:after="0"/>
              <w:rPr>
                <w:sz w:val="20"/>
                <w:szCs w:val="20"/>
                <w:color w:val="auto"/>
              </w:rPr>
            </w:pPr>
            <w:r>
              <w:rPr>
                <w:rFonts w:ascii="Arial" w:cs="Arial" w:eastAsia="Arial" w:hAnsi="Arial"/>
                <w:sz w:val="14"/>
                <w:szCs w:val="14"/>
                <w:color w:val="auto"/>
              </w:rPr>
              <w:t>2,999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w:t>
            </w:r>
          </w:p>
        </w:tc>
        <w:tc>
          <w:tcPr>
            <w:tcW w:w="3120" w:type="dxa"/>
            <w:vAlign w:val="bottom"/>
            <w:tcBorders>
              <w:left w:val="single" w:sz="8" w:color="CCEEFF"/>
            </w:tcBorders>
            <w:gridSpan w:val="2"/>
          </w:tcPr>
          <w:p>
            <w:pPr>
              <w:jc w:val="right"/>
              <w:ind w:right="2268"/>
              <w:spacing w:after="0"/>
              <w:rPr>
                <w:sz w:val="20"/>
                <w:szCs w:val="20"/>
                <w:color w:val="auto"/>
              </w:rPr>
            </w:pPr>
            <w:r>
              <w:rPr>
                <w:rFonts w:ascii="Arial" w:cs="Arial" w:eastAsia="Arial" w:hAnsi="Arial"/>
                <w:sz w:val="14"/>
                <w:szCs w:val="14"/>
                <w:color w:val="auto"/>
              </w:rPr>
              <w:t>2,906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w:t>
            </w:r>
          </w:p>
        </w:tc>
        <w:tc>
          <w:tcPr>
            <w:tcW w:w="20" w:type="dxa"/>
            <w:vAlign w:val="bottom"/>
            <w:shd w:val="clear" w:color="auto" w:fill="CCEEFF"/>
          </w:tcPr>
          <w:p>
            <w:pPr>
              <w:spacing w:after="0"/>
              <w:rPr>
                <w:sz w:val="18"/>
                <w:szCs w:val="18"/>
                <w:color w:val="auto"/>
              </w:rPr>
            </w:pP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type w:val="continuous"/>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5"/>
        </w:trPr>
        <w:tc>
          <w:tcPr>
            <w:tcW w:w="3600" w:type="dxa"/>
            <w:vAlign w:val="bottom"/>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3rd Qtr</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Full Year</w:t>
            </w: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b w:val="1"/>
                <w:bCs w:val="1"/>
                <w:color w:val="0000FF"/>
              </w:rPr>
              <w:t>PRODUCTION</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Crude Oil (MBD)</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7"/>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600" w:type="dxa"/>
            <w:vAlign w:val="bottom"/>
          </w:tcPr>
          <w:p>
            <w:pPr>
              <w:ind w:left="140"/>
              <w:spacing w:after="0"/>
              <w:rPr>
                <w:sz w:val="20"/>
                <w:szCs w:val="20"/>
                <w:color w:val="auto"/>
              </w:rPr>
            </w:pPr>
            <w:r>
              <w:rPr>
                <w:rFonts w:ascii="Arial" w:cs="Arial" w:eastAsia="Arial" w:hAnsi="Arial"/>
                <w:sz w:val="14"/>
                <w:szCs w:val="14"/>
                <w:color w:val="auto"/>
              </w:rPr>
              <w:t>Alaska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720" w:type="dxa"/>
            <w:vAlign w:val="bottom"/>
          </w:tcPr>
          <w:p>
            <w:pPr>
              <w:jc w:val="right"/>
              <w:spacing w:after="0"/>
              <w:rPr>
                <w:sz w:val="20"/>
                <w:szCs w:val="20"/>
                <w:color w:val="auto"/>
              </w:rPr>
            </w:pPr>
            <w:r>
              <w:rPr>
                <w:rFonts w:ascii="Arial" w:cs="Arial" w:eastAsia="Arial" w:hAnsi="Arial"/>
                <w:sz w:val="14"/>
                <w:szCs w:val="14"/>
                <w:color w:val="auto"/>
              </w:rPr>
              <w:t>178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r>
      <w:tr>
        <w:trPr>
          <w:trHeight w:val="203"/>
        </w:trPr>
        <w:tc>
          <w:tcPr>
            <w:tcW w:w="3600" w:type="dxa"/>
            <w:vAlign w:val="bottom"/>
          </w:tcPr>
          <w:p>
            <w:pPr>
              <w:ind w:left="140"/>
              <w:spacing w:after="0"/>
              <w:rPr>
                <w:sz w:val="20"/>
                <w:szCs w:val="20"/>
                <w:color w:val="auto"/>
              </w:rPr>
            </w:pPr>
            <w:r>
              <w:rPr>
                <w:rFonts w:ascii="Arial" w:cs="Arial" w:eastAsia="Arial" w:hAnsi="Arial"/>
                <w:sz w:val="14"/>
                <w:szCs w:val="14"/>
                <w:color w:val="auto"/>
              </w:rPr>
              <w:t>Lower 48</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753</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761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761</w:t>
            </w:r>
          </w:p>
        </w:tc>
        <w:tc>
          <w:tcPr>
            <w:tcW w:w="720" w:type="dxa"/>
            <w:vAlign w:val="bottom"/>
          </w:tcPr>
          <w:p>
            <w:pPr>
              <w:jc w:val="right"/>
              <w:spacing w:after="0"/>
              <w:rPr>
                <w:sz w:val="20"/>
                <w:szCs w:val="20"/>
                <w:color w:val="auto"/>
              </w:rPr>
            </w:pPr>
            <w:r>
              <w:rPr>
                <w:rFonts w:ascii="Arial" w:cs="Arial" w:eastAsia="Arial" w:hAnsi="Arial"/>
                <w:sz w:val="14"/>
                <w:szCs w:val="14"/>
                <w:color w:val="auto"/>
              </w:rPr>
              <w:t>722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r>
      <w:tr>
        <w:trPr>
          <w:trHeight w:val="203"/>
        </w:trPr>
        <w:tc>
          <w:tcPr>
            <w:tcW w:w="3600" w:type="dxa"/>
            <w:vAlign w:val="bottom"/>
          </w:tcPr>
          <w:p>
            <w:pPr>
              <w:ind w:left="140"/>
              <w:spacing w:after="0"/>
              <w:rPr>
                <w:sz w:val="20"/>
                <w:szCs w:val="20"/>
                <w:color w:val="auto"/>
              </w:rPr>
            </w:pPr>
            <w:r>
              <w:rPr>
                <w:rFonts w:ascii="Arial" w:cs="Arial" w:eastAsia="Arial" w:hAnsi="Arial"/>
                <w:sz w:val="14"/>
                <w:szCs w:val="14"/>
                <w:color w:val="auto"/>
              </w:rPr>
              <w:t>Canada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03"/>
        </w:trPr>
        <w:tc>
          <w:tcPr>
            <w:tcW w:w="3600" w:type="dxa"/>
            <w:vAlign w:val="bottom"/>
          </w:tcPr>
          <w:p>
            <w:pPr>
              <w:ind w:left="220"/>
              <w:spacing w:after="0"/>
              <w:rPr>
                <w:sz w:val="20"/>
                <w:szCs w:val="20"/>
                <w:color w:val="auto"/>
              </w:rPr>
            </w:pPr>
            <w:r>
              <w:rPr>
                <w:rFonts w:ascii="Arial" w:cs="Arial" w:eastAsia="Arial" w:hAnsi="Arial"/>
                <w:sz w:val="14"/>
                <w:szCs w:val="14"/>
                <w:color w:val="auto"/>
              </w:rPr>
              <w:t>Norway</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720" w:type="dxa"/>
            <w:vAlign w:val="bottom"/>
          </w:tcPr>
          <w:p>
            <w:pPr>
              <w:jc w:val="right"/>
              <w:spacing w:after="0"/>
              <w:rPr>
                <w:sz w:val="20"/>
                <w:szCs w:val="20"/>
                <w:color w:val="auto"/>
              </w:rPr>
            </w:pPr>
            <w:r>
              <w:rPr>
                <w:rFonts w:ascii="Arial" w:cs="Arial" w:eastAsia="Arial" w:hAnsi="Arial"/>
                <w:sz w:val="14"/>
                <w:szCs w:val="14"/>
                <w:color w:val="auto"/>
              </w:rPr>
              <w:t>64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03"/>
        </w:trPr>
        <w:tc>
          <w:tcPr>
            <w:tcW w:w="3600" w:type="dxa"/>
            <w:vAlign w:val="bottom"/>
          </w:tcPr>
          <w:p>
            <w:pPr>
              <w:ind w:left="220"/>
              <w:spacing w:after="0"/>
              <w:rPr>
                <w:sz w:val="20"/>
                <w:szCs w:val="20"/>
                <w:color w:val="auto"/>
              </w:rPr>
            </w:pPr>
            <w:r>
              <w:rPr>
                <w:rFonts w:ascii="Arial" w:cs="Arial" w:eastAsia="Arial" w:hAnsi="Arial"/>
                <w:sz w:val="14"/>
                <w:szCs w:val="14"/>
                <w:color w:val="auto"/>
              </w:rPr>
              <w:t>Libya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720" w:type="dxa"/>
            <w:vAlign w:val="bottom"/>
          </w:tcPr>
          <w:p>
            <w:pPr>
              <w:jc w:val="right"/>
              <w:spacing w:after="0"/>
              <w:rPr>
                <w:sz w:val="20"/>
                <w:szCs w:val="20"/>
                <w:color w:val="auto"/>
              </w:rPr>
            </w:pPr>
            <w:r>
              <w:rPr>
                <w:rFonts w:ascii="Arial" w:cs="Arial" w:eastAsia="Arial" w:hAnsi="Arial"/>
                <w:sz w:val="14"/>
                <w:szCs w:val="14"/>
                <w:color w:val="auto"/>
              </w:rPr>
              <w:t>60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07"/>
        </w:trPr>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3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192"/>
        </w:trPr>
        <w:tc>
          <w:tcPr>
            <w:tcW w:w="3600" w:type="dxa"/>
            <w:vAlign w:val="bottom"/>
          </w:tcPr>
          <w:p>
            <w:pPr>
              <w:ind w:left="220"/>
              <w:spacing w:after="0"/>
              <w:rPr>
                <w:sz w:val="20"/>
                <w:szCs w:val="20"/>
                <w:color w:val="auto"/>
              </w:rPr>
            </w:pPr>
            <w:r>
              <w:rPr>
                <w:rFonts w:ascii="Arial" w:cs="Arial" w:eastAsia="Arial" w:hAnsi="Arial"/>
                <w:sz w:val="14"/>
                <w:szCs w:val="14"/>
                <w:color w:val="auto"/>
              </w:rPr>
              <w:t>China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720" w:type="dxa"/>
            <w:vAlign w:val="bottom"/>
          </w:tcPr>
          <w:p>
            <w:pPr>
              <w:jc w:val="right"/>
              <w:spacing w:after="0"/>
              <w:rPr>
                <w:sz w:val="20"/>
                <w:szCs w:val="20"/>
                <w:color w:val="auto"/>
              </w:rPr>
            </w:pPr>
            <w:r>
              <w:rPr>
                <w:rFonts w:ascii="Arial" w:cs="Arial" w:eastAsia="Arial" w:hAnsi="Arial"/>
                <w:sz w:val="14"/>
                <w:szCs w:val="14"/>
                <w:color w:val="auto"/>
              </w:rPr>
              <w:t>32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07"/>
        </w:trPr>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Malaysia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3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Asia Pacific</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1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480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23495</wp:posOffset>
            </wp:positionV>
            <wp:extent cx="480060" cy="746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0060" cy="74612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1st Qtr    2nd Qtr   3rd Qtr    4th Qtr</w:t>
            </w: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YTD</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176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20" w:type="dxa"/>
            <w:vAlign w:val="bottom"/>
          </w:tcPr>
          <w:p>
            <w:pPr>
              <w:spacing w:after="0"/>
              <w:rPr>
                <w:sz w:val="17"/>
                <w:szCs w:val="17"/>
                <w:color w:val="auto"/>
              </w:rPr>
            </w:pPr>
          </w:p>
        </w:tc>
      </w:tr>
      <w:tr>
        <w:trPr>
          <w:trHeight w:val="194"/>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731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20" w:type="dxa"/>
            <w:vAlign w:val="bottom"/>
            <w:shd w:val="clear" w:color="auto" w:fill="CCEEFF"/>
          </w:tcPr>
          <w:p>
            <w:pPr>
              <w:spacing w:after="0"/>
              <w:rPr>
                <w:sz w:val="16"/>
                <w:szCs w:val="16"/>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58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54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0" w:type="dxa"/>
            <w:vAlign w:val="bottom"/>
            <w:shd w:val="clear" w:color="auto" w:fill="CCEEFF"/>
          </w:tcPr>
          <w:p>
            <w:pPr>
              <w:spacing w:after="0"/>
              <w:rPr>
                <w:sz w:val="17"/>
                <w:szCs w:val="17"/>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121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36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 w:type="dxa"/>
            <w:vAlign w:val="bottom"/>
            <w:shd w:val="clear" w:color="auto" w:fill="CCEEFF"/>
          </w:tcPr>
          <w:p>
            <w:pPr>
              <w:spacing w:after="0"/>
              <w:rPr>
                <w:sz w:val="16"/>
                <w:szCs w:val="16"/>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20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56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1,100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1,111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-16510</wp:posOffset>
            </wp:positionV>
            <wp:extent cx="480060" cy="4800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7380" w:space="80"/>
            <w:col w:w="3780"/>
          </w:cols>
          <w:pgMar w:left="320" w:top="1143"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NGL (MBD)</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28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280" w:type="dxa"/>
            <w:vAlign w:val="bottom"/>
          </w:tcPr>
          <w:p>
            <w:pPr>
              <w:ind w:left="140"/>
              <w:spacing w:after="0"/>
              <w:rPr>
                <w:sz w:val="20"/>
                <w:szCs w:val="20"/>
                <w:color w:val="auto"/>
              </w:rPr>
            </w:pPr>
            <w:r>
              <w:rPr>
                <w:rFonts w:ascii="Arial" w:cs="Arial" w:eastAsia="Arial" w:hAnsi="Arial"/>
                <w:sz w:val="14"/>
                <w:szCs w:val="14"/>
                <w:color w:val="auto"/>
              </w:rPr>
              <w:t>Alaska</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16</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15</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12</w:t>
            </w: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120" w:type="dxa"/>
            <w:vAlign w:val="bottom"/>
            <w:gridSpan w:val="2"/>
          </w:tcPr>
          <w:p>
            <w:pPr>
              <w:jc w:val="right"/>
              <w:ind w:right="2268"/>
              <w:spacing w:after="0"/>
              <w:rPr>
                <w:sz w:val="20"/>
                <w:szCs w:val="20"/>
                <w:color w:val="auto"/>
              </w:rPr>
            </w:pPr>
            <w:r>
              <w:rPr>
                <w:rFonts w:ascii="Arial" w:cs="Arial" w:eastAsia="Arial" w:hAnsi="Arial"/>
                <w:sz w:val="14"/>
                <w:szCs w:val="14"/>
                <w:color w:val="auto"/>
              </w:rPr>
              <w:t>15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7"/>
                <w:szCs w:val="17"/>
                <w:color w:val="auto"/>
              </w:rPr>
            </w:pPr>
          </w:p>
        </w:tc>
      </w:tr>
      <w:tr>
        <w:trPr>
          <w:trHeight w:val="203"/>
        </w:trPr>
        <w:tc>
          <w:tcPr>
            <w:tcW w:w="3280" w:type="dxa"/>
            <w:vAlign w:val="bottom"/>
          </w:tcPr>
          <w:p>
            <w:pPr>
              <w:ind w:left="140"/>
              <w:spacing w:after="0"/>
              <w:rPr>
                <w:sz w:val="20"/>
                <w:szCs w:val="20"/>
                <w:color w:val="auto"/>
              </w:rPr>
            </w:pPr>
            <w:r>
              <w:rPr>
                <w:rFonts w:ascii="Arial" w:cs="Arial" w:eastAsia="Arial" w:hAnsi="Arial"/>
                <w:sz w:val="14"/>
                <w:szCs w:val="14"/>
                <w:color w:val="auto"/>
              </w:rPr>
              <w:t>Lower 48</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363</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389</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401</w:t>
            </w:r>
          </w:p>
        </w:tc>
        <w:tc>
          <w:tcPr>
            <w:tcW w:w="560" w:type="dxa"/>
            <w:vAlign w:val="bottom"/>
          </w:tcPr>
          <w:p>
            <w:pPr>
              <w:jc w:val="right"/>
              <w:spacing w:after="0"/>
              <w:rPr>
                <w:sz w:val="20"/>
                <w:szCs w:val="20"/>
                <w:color w:val="auto"/>
              </w:rPr>
            </w:pPr>
            <w:r>
              <w:rPr>
                <w:rFonts w:ascii="Arial" w:cs="Arial" w:eastAsia="Arial" w:hAnsi="Arial"/>
                <w:sz w:val="14"/>
                <w:szCs w:val="14"/>
                <w:color w:val="auto"/>
              </w:rPr>
              <w:t>375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3120" w:type="dxa"/>
            <w:vAlign w:val="bottom"/>
            <w:tcBorders>
              <w:left w:val="single" w:sz="8" w:color="CCEEFF"/>
            </w:tcBorders>
            <w:gridSpan w:val="2"/>
          </w:tcPr>
          <w:p>
            <w:pPr>
              <w:jc w:val="right"/>
              <w:ind w:right="2268"/>
              <w:spacing w:after="0"/>
              <w:rPr>
                <w:sz w:val="20"/>
                <w:szCs w:val="20"/>
                <w:color w:val="auto"/>
              </w:rPr>
            </w:pPr>
            <w:r>
              <w:rPr>
                <w:rFonts w:ascii="Arial" w:cs="Arial" w:eastAsia="Arial" w:hAnsi="Arial"/>
                <w:sz w:val="14"/>
                <w:szCs w:val="14"/>
                <w:color w:val="auto"/>
              </w:rPr>
              <w:t>377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20" w:type="dxa"/>
            <w:vAlign w:val="bottom"/>
            <w:shd w:val="clear" w:color="auto" w:fill="CCEEFF"/>
          </w:tcPr>
          <w:p>
            <w:pPr>
              <w:spacing w:after="0"/>
              <w:rPr>
                <w:sz w:val="17"/>
                <w:szCs w:val="17"/>
                <w:color w:val="auto"/>
              </w:rPr>
            </w:pPr>
          </w:p>
        </w:tc>
      </w:tr>
      <w:tr>
        <w:trPr>
          <w:trHeight w:val="203"/>
        </w:trPr>
        <w:tc>
          <w:tcPr>
            <w:tcW w:w="3280" w:type="dxa"/>
            <w:vAlign w:val="bottom"/>
          </w:tcPr>
          <w:p>
            <w:pPr>
              <w:ind w:left="140"/>
              <w:spacing w:after="0"/>
              <w:rPr>
                <w:sz w:val="20"/>
                <w:szCs w:val="20"/>
                <w:color w:val="auto"/>
              </w:rPr>
            </w:pPr>
            <w:r>
              <w:rPr>
                <w:rFonts w:ascii="Arial" w:cs="Arial" w:eastAsia="Arial" w:hAnsi="Arial"/>
                <w:sz w:val="14"/>
                <w:szCs w:val="14"/>
                <w:color w:val="auto"/>
              </w:rPr>
              <w:t>Canada</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6</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6</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7</w:t>
            </w: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120" w:type="dxa"/>
            <w:vAlign w:val="bottom"/>
            <w:tcBorders>
              <w:left w:val="single" w:sz="8" w:color="CCEEFF"/>
            </w:tcBorders>
            <w:gridSpan w:val="2"/>
          </w:tcPr>
          <w:p>
            <w:pPr>
              <w:jc w:val="right"/>
              <w:ind w:right="2268"/>
              <w:spacing w:after="0"/>
              <w:rPr>
                <w:sz w:val="20"/>
                <w:szCs w:val="20"/>
                <w:color w:val="auto"/>
              </w:rPr>
            </w:pPr>
            <w:r>
              <w:rPr>
                <w:rFonts w:ascii="Arial" w:cs="Arial" w:eastAsia="Arial" w:hAnsi="Arial"/>
                <w:sz w:val="14"/>
                <w:szCs w:val="14"/>
                <w:color w:val="auto"/>
              </w:rPr>
              <w:t>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7"/>
                <w:szCs w:val="17"/>
                <w:color w:val="auto"/>
              </w:rPr>
            </w:pPr>
          </w:p>
        </w:tc>
      </w:tr>
      <w:tr>
        <w:trPr>
          <w:trHeight w:val="203"/>
        </w:trPr>
        <w:tc>
          <w:tcPr>
            <w:tcW w:w="3280" w:type="dxa"/>
            <w:vAlign w:val="bottom"/>
          </w:tcPr>
          <w:p>
            <w:pPr>
              <w:ind w:left="220"/>
              <w:spacing w:after="0"/>
              <w:rPr>
                <w:sz w:val="20"/>
                <w:szCs w:val="20"/>
                <w:color w:val="auto"/>
              </w:rPr>
            </w:pPr>
            <w:r>
              <w:rPr>
                <w:rFonts w:ascii="Arial" w:cs="Arial" w:eastAsia="Arial" w:hAnsi="Arial"/>
                <w:sz w:val="14"/>
                <w:szCs w:val="14"/>
                <w:color w:val="auto"/>
              </w:rPr>
              <w:t>Norway</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120" w:type="dxa"/>
            <w:vAlign w:val="bottom"/>
            <w:tcBorders>
              <w:left w:val="single" w:sz="8" w:color="CCEEFF"/>
            </w:tcBorders>
            <w:gridSpan w:val="2"/>
          </w:tcPr>
          <w:p>
            <w:pPr>
              <w:jc w:val="right"/>
              <w:ind w:right="2268"/>
              <w:spacing w:after="0"/>
              <w:rPr>
                <w:sz w:val="20"/>
                <w:szCs w:val="20"/>
                <w:color w:val="auto"/>
              </w:rPr>
            </w:pPr>
            <w:r>
              <w:rPr>
                <w:rFonts w:ascii="Arial" w:cs="Arial" w:eastAsia="Arial" w:hAnsi="Arial"/>
                <w:sz w:val="14"/>
                <w:szCs w:val="14"/>
                <w:color w:val="auto"/>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7"/>
                <w:szCs w:val="17"/>
                <w:color w:val="auto"/>
              </w:rPr>
            </w:pPr>
          </w:p>
        </w:tc>
      </w:tr>
      <w:tr>
        <w:trPr>
          <w:trHeight w:val="207"/>
        </w:trPr>
        <w:tc>
          <w:tcPr>
            <w:tcW w:w="32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left w:val="single" w:sz="8" w:color="CCEEFF"/>
            </w:tcBorders>
          </w:tcPr>
          <w:p>
            <w:pPr>
              <w:spacing w:after="0"/>
              <w:rPr>
                <w:sz w:val="17"/>
                <w:szCs w:val="17"/>
                <w:color w:val="auto"/>
              </w:rPr>
            </w:pPr>
          </w:p>
        </w:tc>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left w:val="single" w:sz="8" w:color="CCEEFF"/>
            </w:tcBorders>
          </w:tcPr>
          <w:p>
            <w:pPr>
              <w:spacing w:after="0"/>
              <w:rPr>
                <w:sz w:val="17"/>
                <w:szCs w:val="17"/>
                <w:color w:val="auto"/>
              </w:rPr>
            </w:pPr>
          </w:p>
        </w:tc>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394</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418</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428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left w:val="single" w:sz="8" w:color="CCEEFF"/>
            </w:tcBorders>
          </w:tcPr>
          <w:p>
            <w:pPr>
              <w:spacing w:after="0"/>
              <w:rPr>
                <w:sz w:val="17"/>
                <w:szCs w:val="17"/>
                <w:color w:val="auto"/>
              </w:rPr>
            </w:pPr>
          </w:p>
        </w:tc>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408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left w:val="single" w:sz="8" w:color="CCEEFF"/>
            </w:tcBorders>
          </w:tcPr>
          <w:p>
            <w:pPr>
              <w:spacing w:after="0"/>
              <w:rPr>
                <w:sz w:val="17"/>
                <w:szCs w:val="17"/>
                <w:color w:val="auto"/>
              </w:rPr>
            </w:pPr>
          </w:p>
        </w:tc>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402</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424</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436</w:t>
            </w:r>
          </w:p>
        </w:tc>
        <w:tc>
          <w:tcPr>
            <w:tcW w:w="560" w:type="dxa"/>
            <w:vAlign w:val="bottom"/>
          </w:tcPr>
          <w:p>
            <w:pPr>
              <w:jc w:val="right"/>
              <w:spacing w:after="0"/>
              <w:rPr>
                <w:sz w:val="20"/>
                <w:szCs w:val="20"/>
                <w:color w:val="auto"/>
              </w:rPr>
            </w:pPr>
            <w:r>
              <w:rPr>
                <w:rFonts w:ascii="Arial" w:cs="Arial" w:eastAsia="Arial" w:hAnsi="Arial"/>
                <w:sz w:val="14"/>
                <w:szCs w:val="14"/>
                <w:color w:val="auto"/>
              </w:rPr>
              <w:t>413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3120" w:type="dxa"/>
            <w:vAlign w:val="bottom"/>
            <w:tcBorders>
              <w:left w:val="single" w:sz="8" w:color="CCEEFF"/>
            </w:tcBorders>
            <w:gridSpan w:val="2"/>
          </w:tcPr>
          <w:p>
            <w:pPr>
              <w:jc w:val="right"/>
              <w:ind w:right="2268"/>
              <w:spacing w:after="0"/>
              <w:rPr>
                <w:sz w:val="20"/>
                <w:szCs w:val="20"/>
                <w:color w:val="auto"/>
              </w:rPr>
            </w:pPr>
            <w:r>
              <w:rPr>
                <w:rFonts w:ascii="Arial" w:cs="Arial" w:eastAsia="Arial" w:hAnsi="Arial"/>
                <w:sz w:val="14"/>
                <w:szCs w:val="14"/>
                <w:color w:val="auto"/>
              </w:rPr>
              <w:t>415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20" w:type="dxa"/>
            <w:vAlign w:val="bottom"/>
            <w:shd w:val="clear" w:color="auto" w:fill="CCEEFF"/>
          </w:tcPr>
          <w:p>
            <w:pPr>
              <w:spacing w:after="0"/>
              <w:rPr>
                <w:sz w:val="18"/>
                <w:szCs w:val="18"/>
                <w:color w:val="auto"/>
              </w:rPr>
            </w:pPr>
          </w:p>
        </w:tc>
      </w:tr>
      <w:tr>
        <w:trPr>
          <w:trHeight w:val="20"/>
        </w:trPr>
        <w:tc>
          <w:tcPr>
            <w:tcW w:w="3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3517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0060" cy="3517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-16510</wp:posOffset>
            </wp:positionV>
            <wp:extent cx="480060" cy="351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0060" cy="3517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60" w:type="dxa"/>
            <w:vAlign w:val="bottom"/>
          </w:tcPr>
          <w:p>
            <w:pPr>
              <w:ind w:left="20"/>
              <w:spacing w:after="0"/>
              <w:rPr>
                <w:sz w:val="20"/>
                <w:szCs w:val="20"/>
                <w:color w:val="auto"/>
              </w:rPr>
            </w:pPr>
            <w:r>
              <w:rPr>
                <w:rFonts w:ascii="Arial" w:cs="Arial" w:eastAsia="Arial" w:hAnsi="Arial"/>
                <w:sz w:val="14"/>
                <w:szCs w:val="14"/>
                <w:b w:val="1"/>
                <w:bCs w:val="1"/>
                <w:color w:val="auto"/>
              </w:rPr>
              <w:t>Bitumen (MBD)</w:t>
            </w:r>
          </w:p>
        </w:tc>
        <w:tc>
          <w:tcPr>
            <w:tcW w:w="1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Canada</w:t>
            </w:r>
          </w:p>
        </w:tc>
        <w:tc>
          <w:tcPr>
            <w:tcW w:w="1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143</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144</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0" w:type="dxa"/>
            <w:vAlign w:val="bottom"/>
            <w:tcBorders>
              <w:bottom w:val="single" w:sz="8" w:color="auto"/>
            </w:tcBorders>
          </w:tcPr>
          <w:p>
            <w:pPr>
              <w:spacing w:after="0"/>
              <w:rPr>
                <w:sz w:val="17"/>
                <w:szCs w:val="17"/>
                <w:color w:val="auto"/>
              </w:rPr>
            </w:pPr>
          </w:p>
        </w:tc>
      </w:tr>
      <w:tr>
        <w:trPr>
          <w:trHeight w:val="216"/>
        </w:trPr>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1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143</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144</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118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0" w:type="dxa"/>
            <w:vAlign w:val="bottom"/>
            <w:tcBorders>
              <w:bottom w:val="single" w:sz="8" w:color="auto"/>
            </w:tcBorders>
          </w:tcPr>
          <w:p>
            <w:pPr>
              <w:spacing w:after="0"/>
              <w:rPr>
                <w:sz w:val="17"/>
                <w:szCs w:val="17"/>
                <w:color w:val="auto"/>
              </w:rPr>
            </w:pPr>
          </w:p>
        </w:tc>
      </w:tr>
      <w:tr>
        <w:trPr>
          <w:trHeight w:val="212"/>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118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302"/>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Alaska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48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36</w:t>
            </w:r>
          </w:p>
        </w:tc>
        <w:tc>
          <w:tcPr>
            <w:tcW w:w="620" w:type="dxa"/>
            <w:vAlign w:val="bottom"/>
          </w:tcPr>
          <w:p>
            <w:pPr>
              <w:jc w:val="right"/>
              <w:spacing w:after="0"/>
              <w:rPr>
                <w:sz w:val="20"/>
                <w:szCs w:val="20"/>
                <w:color w:val="auto"/>
              </w:rPr>
            </w:pPr>
            <w:r>
              <w:rPr>
                <w:rFonts w:ascii="Arial" w:cs="Arial" w:eastAsia="Arial" w:hAnsi="Arial"/>
                <w:sz w:val="14"/>
                <w:szCs w:val="14"/>
                <w:color w:val="auto"/>
              </w:rPr>
              <w:t>34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Lower 48</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2,080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2,146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2,198</w:t>
            </w:r>
          </w:p>
        </w:tc>
        <w:tc>
          <w:tcPr>
            <w:tcW w:w="620" w:type="dxa"/>
            <w:vAlign w:val="bottom"/>
          </w:tcPr>
          <w:p>
            <w:pPr>
              <w:jc w:val="right"/>
              <w:spacing w:after="0"/>
              <w:rPr>
                <w:sz w:val="20"/>
                <w:szCs w:val="20"/>
                <w:color w:val="auto"/>
              </w:rPr>
            </w:pPr>
            <w:r>
              <w:rPr>
                <w:rFonts w:ascii="Arial" w:cs="Arial" w:eastAsia="Arial" w:hAnsi="Arial"/>
                <w:sz w:val="14"/>
                <w:szCs w:val="14"/>
                <w:color w:val="auto"/>
              </w:rPr>
              <w:t>2,050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w:t>
            </w: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Canada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109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124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134</w:t>
            </w:r>
          </w:p>
        </w:tc>
        <w:tc>
          <w:tcPr>
            <w:tcW w:w="620" w:type="dxa"/>
            <w:vAlign w:val="bottom"/>
          </w:tcPr>
          <w:p>
            <w:pPr>
              <w:jc w:val="right"/>
              <w:spacing w:after="0"/>
              <w:rPr>
                <w:sz w:val="20"/>
                <w:szCs w:val="20"/>
                <w:color w:val="auto"/>
              </w:rPr>
            </w:pPr>
            <w:r>
              <w:rPr>
                <w:rFonts w:ascii="Arial" w:cs="Arial" w:eastAsia="Arial" w:hAnsi="Arial"/>
                <w:sz w:val="14"/>
                <w:szCs w:val="14"/>
                <w:color w:val="auto"/>
              </w:rPr>
              <w:t>133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203"/>
        </w:trPr>
        <w:tc>
          <w:tcPr>
            <w:tcW w:w="3220" w:type="dxa"/>
            <w:vAlign w:val="bottom"/>
          </w:tcPr>
          <w:p>
            <w:pPr>
              <w:ind w:left="220"/>
              <w:spacing w:after="0"/>
              <w:rPr>
                <w:sz w:val="20"/>
                <w:szCs w:val="20"/>
                <w:color w:val="auto"/>
              </w:rPr>
            </w:pPr>
            <w:r>
              <w:rPr>
                <w:rFonts w:ascii="Arial" w:cs="Arial" w:eastAsia="Arial" w:hAnsi="Arial"/>
                <w:sz w:val="14"/>
                <w:szCs w:val="14"/>
                <w:color w:val="auto"/>
              </w:rPr>
              <w:t>Norway</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353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302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324</w:t>
            </w:r>
          </w:p>
        </w:tc>
        <w:tc>
          <w:tcPr>
            <w:tcW w:w="620" w:type="dxa"/>
            <w:vAlign w:val="bottom"/>
          </w:tcPr>
          <w:p>
            <w:pPr>
              <w:jc w:val="right"/>
              <w:spacing w:after="0"/>
              <w:rPr>
                <w:sz w:val="20"/>
                <w:szCs w:val="20"/>
                <w:color w:val="auto"/>
              </w:rPr>
            </w:pPr>
            <w:r>
              <w:rPr>
                <w:rFonts w:ascii="Arial" w:cs="Arial" w:eastAsia="Arial" w:hAnsi="Arial"/>
                <w:sz w:val="14"/>
                <w:szCs w:val="14"/>
                <w:color w:val="auto"/>
              </w:rPr>
              <w:t>340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r>
      <w:tr>
        <w:trPr>
          <w:trHeight w:val="203"/>
        </w:trPr>
        <w:tc>
          <w:tcPr>
            <w:tcW w:w="3220" w:type="dxa"/>
            <w:vAlign w:val="bottom"/>
          </w:tcPr>
          <w:p>
            <w:pPr>
              <w:ind w:left="220"/>
              <w:spacing w:after="0"/>
              <w:rPr>
                <w:sz w:val="20"/>
                <w:szCs w:val="20"/>
                <w:color w:val="auto"/>
              </w:rPr>
            </w:pPr>
            <w:r>
              <w:rPr>
                <w:rFonts w:ascii="Arial" w:cs="Arial" w:eastAsia="Arial" w:hAnsi="Arial"/>
                <w:sz w:val="14"/>
                <w:szCs w:val="14"/>
                <w:color w:val="auto"/>
              </w:rPr>
              <w:t>Libya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33</w:t>
            </w:r>
          </w:p>
        </w:tc>
        <w:tc>
          <w:tcPr>
            <w:tcW w:w="620" w:type="dxa"/>
            <w:vAlign w:val="bottom"/>
          </w:tcPr>
          <w:p>
            <w:pPr>
              <w:jc w:val="right"/>
              <w:spacing w:after="0"/>
              <w:rPr>
                <w:sz w:val="20"/>
                <w:szCs w:val="20"/>
                <w:color w:val="auto"/>
              </w:rPr>
            </w:pPr>
            <w:r>
              <w:rPr>
                <w:rFonts w:ascii="Arial" w:cs="Arial" w:eastAsia="Arial" w:hAnsi="Arial"/>
                <w:sz w:val="14"/>
                <w:szCs w:val="14"/>
                <w:color w:val="auto"/>
              </w:rPr>
              <w:t>33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07"/>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96"/>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w:t>
            </w:r>
          </w:p>
        </w:tc>
      </w:tr>
      <w:tr>
        <w:trPr>
          <w:trHeight w:val="196"/>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Malaysia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96"/>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Asia Pacific</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2,840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2,855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2,941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2,859</w:t>
            </w: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1,230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1,150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1,226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w:t>
            </w:r>
          </w:p>
        </w:tc>
      </w:tr>
      <w:tr>
        <w:trPr>
          <w:trHeight w:val="21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4,070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4,005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4,167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4,065</w:t>
            </w: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480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1"/>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25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2,067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w:t>
            </w: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131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332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36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157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525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74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74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2,822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2,822</w:t>
            </w: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1,166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r>
      <w:tr>
        <w:trPr>
          <w:trHeight w:val="21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3,988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3,988</w:t>
            </w: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-16510</wp:posOffset>
            </wp:positionV>
            <wp:extent cx="480060" cy="480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Total (MBOED)</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22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Alaska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208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182</w:t>
            </w:r>
          </w:p>
        </w:tc>
        <w:tc>
          <w:tcPr>
            <w:tcW w:w="620" w:type="dxa"/>
            <w:vAlign w:val="bottom"/>
          </w:tcPr>
          <w:p>
            <w:pPr>
              <w:jc w:val="right"/>
              <w:spacing w:after="0"/>
              <w:rPr>
                <w:sz w:val="20"/>
                <w:szCs w:val="20"/>
                <w:color w:val="auto"/>
              </w:rPr>
            </w:pPr>
            <w:r>
              <w:rPr>
                <w:rFonts w:ascii="Arial" w:cs="Arial" w:eastAsia="Arial" w:hAnsi="Arial"/>
                <w:sz w:val="14"/>
                <w:szCs w:val="14"/>
                <w:color w:val="auto"/>
              </w:rPr>
              <w:t>199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20" w:type="dxa"/>
            <w:vAlign w:val="bottom"/>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Lower 48</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1,462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1,508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1,528</w:t>
            </w:r>
          </w:p>
        </w:tc>
        <w:tc>
          <w:tcPr>
            <w:tcW w:w="620" w:type="dxa"/>
            <w:vAlign w:val="bottom"/>
          </w:tcPr>
          <w:p>
            <w:pPr>
              <w:jc w:val="right"/>
              <w:spacing w:after="0"/>
              <w:rPr>
                <w:sz w:val="20"/>
                <w:szCs w:val="20"/>
                <w:color w:val="auto"/>
              </w:rPr>
            </w:pPr>
            <w:r>
              <w:rPr>
                <w:rFonts w:ascii="Arial" w:cs="Arial" w:eastAsia="Arial" w:hAnsi="Arial"/>
                <w:sz w:val="14"/>
                <w:szCs w:val="14"/>
                <w:color w:val="auto"/>
              </w:rPr>
              <w:t>1,439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w:t>
            </w:r>
          </w:p>
        </w:tc>
        <w:tc>
          <w:tcPr>
            <w:tcW w:w="20" w:type="dxa"/>
            <w:vAlign w:val="bottom"/>
            <w:shd w:val="clear" w:color="auto" w:fill="CCEEFF"/>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Canada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184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191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169</w:t>
            </w:r>
          </w:p>
        </w:tc>
        <w:tc>
          <w:tcPr>
            <w:tcW w:w="620" w:type="dxa"/>
            <w:vAlign w:val="bottom"/>
          </w:tcPr>
          <w:p>
            <w:pPr>
              <w:jc w:val="right"/>
              <w:spacing w:after="0"/>
              <w:rPr>
                <w:sz w:val="20"/>
                <w:szCs w:val="20"/>
                <w:color w:val="auto"/>
              </w:rPr>
            </w:pPr>
            <w:r>
              <w:rPr>
                <w:rFonts w:ascii="Arial" w:cs="Arial" w:eastAsia="Arial" w:hAnsi="Arial"/>
                <w:sz w:val="14"/>
                <w:szCs w:val="14"/>
                <w:color w:val="auto"/>
              </w:rPr>
              <w:t>167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20" w:type="dxa"/>
            <w:vAlign w:val="bottom"/>
            <w:shd w:val="clear" w:color="auto" w:fill="CCEEFF"/>
          </w:tcPr>
          <w:p>
            <w:pPr>
              <w:spacing w:after="0"/>
              <w:rPr>
                <w:sz w:val="17"/>
                <w:szCs w:val="17"/>
                <w:color w:val="auto"/>
              </w:rPr>
            </w:pPr>
          </w:p>
        </w:tc>
      </w:tr>
      <w:tr>
        <w:trPr>
          <w:trHeight w:val="203"/>
        </w:trPr>
        <w:tc>
          <w:tcPr>
            <w:tcW w:w="3220" w:type="dxa"/>
            <w:vAlign w:val="bottom"/>
          </w:tcPr>
          <w:p>
            <w:pPr>
              <w:ind w:left="220"/>
              <w:spacing w:after="0"/>
              <w:rPr>
                <w:sz w:val="20"/>
                <w:szCs w:val="20"/>
                <w:color w:val="auto"/>
              </w:rPr>
            </w:pPr>
            <w:r>
              <w:rPr>
                <w:rFonts w:ascii="Arial" w:cs="Arial" w:eastAsia="Arial" w:hAnsi="Arial"/>
                <w:sz w:val="14"/>
                <w:szCs w:val="14"/>
                <w:color w:val="auto"/>
              </w:rPr>
              <w:t>Norway</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131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107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123</w:t>
            </w:r>
          </w:p>
        </w:tc>
        <w:tc>
          <w:tcPr>
            <w:tcW w:w="620" w:type="dxa"/>
            <w:vAlign w:val="bottom"/>
          </w:tcPr>
          <w:p>
            <w:pPr>
              <w:jc w:val="right"/>
              <w:spacing w:after="0"/>
              <w:rPr>
                <w:sz w:val="20"/>
                <w:szCs w:val="20"/>
                <w:color w:val="auto"/>
              </w:rPr>
            </w:pPr>
            <w:r>
              <w:rPr>
                <w:rFonts w:ascii="Arial" w:cs="Arial" w:eastAsia="Arial" w:hAnsi="Arial"/>
                <w:sz w:val="14"/>
                <w:szCs w:val="14"/>
                <w:color w:val="auto"/>
              </w:rPr>
              <w:t>124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20" w:type="dxa"/>
            <w:vAlign w:val="bottom"/>
            <w:shd w:val="clear" w:color="auto" w:fill="CCEEFF"/>
          </w:tcPr>
          <w:p>
            <w:pPr>
              <w:spacing w:after="0"/>
              <w:rPr>
                <w:sz w:val="17"/>
                <w:szCs w:val="17"/>
                <w:color w:val="auto"/>
              </w:rPr>
            </w:pPr>
          </w:p>
        </w:tc>
      </w:tr>
      <w:tr>
        <w:trPr>
          <w:trHeight w:val="202"/>
        </w:trPr>
        <w:tc>
          <w:tcPr>
            <w:tcW w:w="3220" w:type="dxa"/>
            <w:vAlign w:val="bottom"/>
          </w:tcPr>
          <w:p>
            <w:pPr>
              <w:ind w:left="220"/>
              <w:spacing w:after="0"/>
              <w:rPr>
                <w:sz w:val="20"/>
                <w:szCs w:val="20"/>
                <w:color w:val="auto"/>
              </w:rPr>
            </w:pPr>
            <w:r>
              <w:rPr>
                <w:rFonts w:ascii="Arial" w:cs="Arial" w:eastAsia="Arial" w:hAnsi="Arial"/>
                <w:sz w:val="14"/>
                <w:szCs w:val="14"/>
                <w:color w:val="auto"/>
              </w:rPr>
              <w:t>Libya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65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66</w:t>
            </w:r>
          </w:p>
        </w:tc>
        <w:tc>
          <w:tcPr>
            <w:tcW w:w="620" w:type="dxa"/>
            <w:vAlign w:val="bottom"/>
          </w:tcPr>
          <w:p>
            <w:pPr>
              <w:jc w:val="right"/>
              <w:spacing w:after="0"/>
              <w:rPr>
                <w:sz w:val="20"/>
                <w:szCs w:val="20"/>
                <w:color w:val="auto"/>
              </w:rPr>
            </w:pPr>
            <w:r>
              <w:rPr>
                <w:rFonts w:ascii="Arial" w:cs="Arial" w:eastAsia="Arial" w:hAnsi="Arial"/>
                <w:sz w:val="14"/>
                <w:szCs w:val="14"/>
                <w:color w:val="auto"/>
              </w:rPr>
              <w:t>65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0" w:type="dxa"/>
            <w:vAlign w:val="bottom"/>
            <w:shd w:val="clear" w:color="auto" w:fill="CCEEFF"/>
          </w:tcPr>
          <w:p>
            <w:pPr>
              <w:spacing w:after="0"/>
              <w:rPr>
                <w:sz w:val="17"/>
                <w:szCs w:val="17"/>
                <w:color w:val="auto"/>
              </w:rPr>
            </w:pPr>
          </w:p>
        </w:tc>
      </w:tr>
      <w:tr>
        <w:trPr>
          <w:trHeight w:val="206"/>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235</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3220" w:type="dxa"/>
            <w:vAlign w:val="bottom"/>
          </w:tcPr>
          <w:p>
            <w:pPr>
              <w:ind w:left="220"/>
              <w:spacing w:after="0"/>
              <w:rPr>
                <w:sz w:val="20"/>
                <w:szCs w:val="20"/>
                <w:color w:val="auto"/>
              </w:rPr>
            </w:pPr>
            <w:r>
              <w:rPr>
                <w:rFonts w:ascii="Arial" w:cs="Arial" w:eastAsia="Arial" w:hAnsi="Arial"/>
                <w:sz w:val="14"/>
                <w:szCs w:val="14"/>
                <w:color w:val="auto"/>
              </w:rPr>
              <w:t>China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 w:type="dxa"/>
            <w:vAlign w:val="bottom"/>
            <w:shd w:val="clear" w:color="auto" w:fill="CCEEFF"/>
          </w:tcPr>
          <w:p>
            <w:pPr>
              <w:spacing w:after="0"/>
              <w:rPr>
                <w:sz w:val="16"/>
                <w:szCs w:val="16"/>
                <w:color w:val="auto"/>
              </w:rPr>
            </w:pPr>
          </w:p>
        </w:tc>
      </w:tr>
      <w:tr>
        <w:trPr>
          <w:trHeight w:val="206"/>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Malaysia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Asia Pacific</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74</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2,163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2,182</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2,174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2,154</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2,389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2,391</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2,399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195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0" w:type="dxa"/>
            <w:vAlign w:val="bottom"/>
          </w:tcPr>
          <w:p>
            <w:pPr>
              <w:spacing w:after="0"/>
              <w:rPr>
                <w:sz w:val="17"/>
                <w:szCs w:val="17"/>
                <w:color w:val="auto"/>
              </w:rPr>
            </w:pPr>
          </w:p>
        </w:tc>
      </w:tr>
      <w:tr>
        <w:trPr>
          <w:trHeight w:val="195"/>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1,453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20" w:type="dxa"/>
            <w:vAlign w:val="bottom"/>
            <w:shd w:val="clear" w:color="auto" w:fill="CCEEFF"/>
          </w:tcPr>
          <w:p>
            <w:pPr>
              <w:spacing w:after="0"/>
              <w:rPr>
                <w:sz w:val="16"/>
                <w:szCs w:val="16"/>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164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116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20" w:type="dxa"/>
            <w:vAlign w:val="bottom"/>
            <w:shd w:val="clear" w:color="auto" w:fill="CCEEFF"/>
          </w:tcPr>
          <w:p>
            <w:pPr>
              <w:spacing w:after="0"/>
              <w:rPr>
                <w:sz w:val="17"/>
                <w:szCs w:val="17"/>
                <w:color w:val="auto"/>
              </w:rPr>
            </w:pPr>
          </w:p>
        </w:tc>
      </w:tr>
      <w:tr>
        <w:trPr>
          <w:trHeight w:val="20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60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0" w:type="dxa"/>
            <w:vAlign w:val="bottom"/>
            <w:shd w:val="clear" w:color="auto" w:fill="CCEEFF"/>
          </w:tcPr>
          <w:p>
            <w:pPr>
              <w:spacing w:after="0"/>
              <w:rPr>
                <w:sz w:val="17"/>
                <w:szCs w:val="17"/>
                <w:color w:val="auto"/>
              </w:rPr>
            </w:pPr>
          </w:p>
        </w:tc>
      </w:tr>
      <w:tr>
        <w:trPr>
          <w:trHeight w:val="20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40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216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36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 w:type="dxa"/>
            <w:vAlign w:val="bottom"/>
            <w:shd w:val="clear" w:color="auto" w:fill="CCEEFF"/>
          </w:tcPr>
          <w:p>
            <w:pPr>
              <w:spacing w:after="0"/>
              <w:rPr>
                <w:sz w:val="16"/>
                <w:szCs w:val="16"/>
                <w:color w:val="auto"/>
              </w:rPr>
            </w:pPr>
          </w:p>
        </w:tc>
      </w:tr>
      <w:tr>
        <w:trPr>
          <w:trHeight w:val="20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33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69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2,096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212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2,309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2">
            <w:col w:w="7380" w:space="80"/>
            <w:col w:w="3780"/>
          </w:cols>
          <w:pgMar w:left="320" w:top="1143" w:right="339" w:bottom="1440" w:gutter="0" w:footer="0" w:header="0"/>
          <w:type w:val="continuous"/>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6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5"/>
        </w:trPr>
        <w:tc>
          <w:tcPr>
            <w:tcW w:w="3600" w:type="dxa"/>
            <w:vAlign w:val="bottom"/>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2nd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3rd Qtr</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4th Qtr</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Full Year</w:t>
            </w: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b w:val="1"/>
                <w:bCs w:val="1"/>
                <w:color w:val="0000FF"/>
              </w:rPr>
              <w:t>AVERAGE REALIZED PRICES</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351"/>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Crude Oil ($/BBL)</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7"/>
        </w:trPr>
        <w:tc>
          <w:tcPr>
            <w:tcW w:w="360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600" w:type="dxa"/>
            <w:vAlign w:val="bottom"/>
          </w:tcPr>
          <w:p>
            <w:pPr>
              <w:ind w:left="140"/>
              <w:spacing w:after="0"/>
              <w:rPr>
                <w:sz w:val="20"/>
                <w:szCs w:val="20"/>
                <w:color w:val="auto"/>
              </w:rPr>
            </w:pPr>
            <w:r>
              <w:rPr>
                <w:rFonts w:ascii="Arial" w:cs="Arial" w:eastAsia="Arial" w:hAnsi="Arial"/>
                <w:sz w:val="14"/>
                <w:szCs w:val="14"/>
                <w:color w:val="auto"/>
              </w:rPr>
              <w:t>Alaska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76.58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70.87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72.72</w:t>
            </w:r>
          </w:p>
        </w:tc>
        <w:tc>
          <w:tcPr>
            <w:tcW w:w="720" w:type="dxa"/>
            <w:vAlign w:val="bottom"/>
          </w:tcPr>
          <w:p>
            <w:pPr>
              <w:jc w:val="right"/>
              <w:spacing w:after="0"/>
              <w:rPr>
                <w:sz w:val="20"/>
                <w:szCs w:val="20"/>
                <w:color w:val="auto"/>
              </w:rPr>
            </w:pPr>
            <w:r>
              <w:rPr>
                <w:rFonts w:ascii="Arial" w:cs="Arial" w:eastAsia="Arial" w:hAnsi="Arial"/>
                <w:sz w:val="14"/>
                <w:szCs w:val="14"/>
                <w:color w:val="auto"/>
              </w:rPr>
              <w:t>66.63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71.79</w:t>
            </w:r>
          </w:p>
        </w:tc>
      </w:tr>
      <w:tr>
        <w:trPr>
          <w:trHeight w:val="203"/>
        </w:trPr>
        <w:tc>
          <w:tcPr>
            <w:tcW w:w="3600" w:type="dxa"/>
            <w:vAlign w:val="bottom"/>
          </w:tcPr>
          <w:p>
            <w:pPr>
              <w:ind w:left="140"/>
              <w:spacing w:after="0"/>
              <w:rPr>
                <w:sz w:val="20"/>
                <w:szCs w:val="20"/>
                <w:color w:val="auto"/>
              </w:rPr>
            </w:pPr>
            <w:r>
              <w:rPr>
                <w:rFonts w:ascii="Arial" w:cs="Arial" w:eastAsia="Arial" w:hAnsi="Arial"/>
                <w:sz w:val="14"/>
                <w:szCs w:val="14"/>
                <w:color w:val="auto"/>
              </w:rPr>
              <w:t>Lower 48</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69.47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61.90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63.71</w:t>
            </w:r>
          </w:p>
        </w:tc>
        <w:tc>
          <w:tcPr>
            <w:tcW w:w="720" w:type="dxa"/>
            <w:vAlign w:val="bottom"/>
          </w:tcPr>
          <w:p>
            <w:pPr>
              <w:jc w:val="right"/>
              <w:spacing w:after="0"/>
              <w:rPr>
                <w:sz w:val="20"/>
                <w:szCs w:val="20"/>
                <w:color w:val="auto"/>
              </w:rPr>
            </w:pPr>
            <w:r>
              <w:rPr>
                <w:rFonts w:ascii="Arial" w:cs="Arial" w:eastAsia="Arial" w:hAnsi="Arial"/>
                <w:sz w:val="14"/>
                <w:szCs w:val="14"/>
                <w:color w:val="auto"/>
              </w:rPr>
              <w:t>57.46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63.18</w:t>
            </w:r>
          </w:p>
        </w:tc>
      </w:tr>
      <w:tr>
        <w:trPr>
          <w:trHeight w:val="203"/>
        </w:trPr>
        <w:tc>
          <w:tcPr>
            <w:tcW w:w="3600" w:type="dxa"/>
            <w:vAlign w:val="bottom"/>
          </w:tcPr>
          <w:p>
            <w:pPr>
              <w:ind w:left="140"/>
              <w:spacing w:after="0"/>
              <w:rPr>
                <w:sz w:val="20"/>
                <w:szCs w:val="20"/>
                <w:color w:val="auto"/>
              </w:rPr>
            </w:pPr>
            <w:r>
              <w:rPr>
                <w:rFonts w:ascii="Arial" w:cs="Arial" w:eastAsia="Arial" w:hAnsi="Arial"/>
                <w:sz w:val="14"/>
                <w:szCs w:val="14"/>
                <w:color w:val="auto"/>
              </w:rPr>
              <w:t>Canada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62.41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55.48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55.80</w:t>
            </w:r>
          </w:p>
        </w:tc>
        <w:tc>
          <w:tcPr>
            <w:tcW w:w="720" w:type="dxa"/>
            <w:vAlign w:val="bottom"/>
          </w:tcPr>
          <w:p>
            <w:pPr>
              <w:jc w:val="right"/>
              <w:spacing w:after="0"/>
              <w:rPr>
                <w:sz w:val="20"/>
                <w:szCs w:val="20"/>
                <w:color w:val="auto"/>
              </w:rPr>
            </w:pPr>
            <w:r>
              <w:rPr>
                <w:rFonts w:ascii="Arial" w:cs="Arial" w:eastAsia="Arial" w:hAnsi="Arial"/>
                <w:sz w:val="14"/>
                <w:szCs w:val="14"/>
                <w:color w:val="auto"/>
              </w:rPr>
              <w:t>46.92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w:t>
            </w:r>
          </w:p>
        </w:tc>
      </w:tr>
      <w:tr>
        <w:trPr>
          <w:trHeight w:val="203"/>
        </w:trPr>
        <w:tc>
          <w:tcPr>
            <w:tcW w:w="3600" w:type="dxa"/>
            <w:vAlign w:val="bottom"/>
          </w:tcPr>
          <w:p>
            <w:pPr>
              <w:ind w:left="220"/>
              <w:spacing w:after="0"/>
              <w:rPr>
                <w:sz w:val="20"/>
                <w:szCs w:val="20"/>
                <w:color w:val="auto"/>
              </w:rPr>
            </w:pPr>
            <w:r>
              <w:rPr>
                <w:rFonts w:ascii="Arial" w:cs="Arial" w:eastAsia="Arial" w:hAnsi="Arial"/>
                <w:sz w:val="14"/>
                <w:szCs w:val="14"/>
                <w:color w:val="auto"/>
              </w:rPr>
              <w:t>Norway</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75.80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68.78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70.89</w:t>
            </w:r>
          </w:p>
        </w:tc>
        <w:tc>
          <w:tcPr>
            <w:tcW w:w="720" w:type="dxa"/>
            <w:vAlign w:val="bottom"/>
          </w:tcPr>
          <w:p>
            <w:pPr>
              <w:jc w:val="right"/>
              <w:spacing w:after="0"/>
              <w:rPr>
                <w:sz w:val="20"/>
                <w:szCs w:val="20"/>
                <w:color w:val="auto"/>
              </w:rPr>
            </w:pPr>
            <w:r>
              <w:rPr>
                <w:rFonts w:ascii="Arial" w:cs="Arial" w:eastAsia="Arial" w:hAnsi="Arial"/>
                <w:sz w:val="14"/>
                <w:szCs w:val="14"/>
                <w:color w:val="auto"/>
              </w:rPr>
              <w:t>66.27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70.52</w:t>
            </w:r>
          </w:p>
        </w:tc>
      </w:tr>
      <w:tr>
        <w:trPr>
          <w:trHeight w:val="203"/>
        </w:trPr>
        <w:tc>
          <w:tcPr>
            <w:tcW w:w="3600" w:type="dxa"/>
            <w:vAlign w:val="bottom"/>
          </w:tcPr>
          <w:p>
            <w:pPr>
              <w:ind w:left="220"/>
              <w:spacing w:after="0"/>
              <w:rPr>
                <w:sz w:val="20"/>
                <w:szCs w:val="20"/>
                <w:color w:val="auto"/>
              </w:rPr>
            </w:pPr>
            <w:r>
              <w:rPr>
                <w:rFonts w:ascii="Arial" w:cs="Arial" w:eastAsia="Arial" w:hAnsi="Arial"/>
                <w:sz w:val="14"/>
                <w:szCs w:val="14"/>
                <w:color w:val="auto"/>
              </w:rPr>
              <w:t>Libya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75.45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68.59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70.10</w:t>
            </w:r>
          </w:p>
        </w:tc>
        <w:tc>
          <w:tcPr>
            <w:tcW w:w="720" w:type="dxa"/>
            <w:vAlign w:val="bottom"/>
          </w:tcPr>
          <w:p>
            <w:pPr>
              <w:jc w:val="right"/>
              <w:spacing w:after="0"/>
              <w:rPr>
                <w:sz w:val="20"/>
                <w:szCs w:val="20"/>
                <w:color w:val="auto"/>
              </w:rPr>
            </w:pPr>
            <w:r>
              <w:rPr>
                <w:rFonts w:ascii="Arial" w:cs="Arial" w:eastAsia="Arial" w:hAnsi="Arial"/>
                <w:sz w:val="14"/>
                <w:szCs w:val="14"/>
                <w:color w:val="auto"/>
              </w:rPr>
              <w:t>63.76</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69.40</w:t>
            </w:r>
          </w:p>
        </w:tc>
      </w:tr>
      <w:tr>
        <w:trPr>
          <w:trHeight w:val="207"/>
        </w:trPr>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59.91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52.66</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43.47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52.81</w:t>
            </w:r>
          </w:p>
        </w:tc>
      </w:tr>
      <w:tr>
        <w:trPr>
          <w:trHeight w:val="196"/>
        </w:trPr>
        <w:tc>
          <w:tcPr>
            <w:tcW w:w="3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74.60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67.48</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69.46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68.95</w:t>
            </w:r>
          </w:p>
        </w:tc>
      </w:tr>
      <w:tr>
        <w:trPr>
          <w:trHeight w:val="192"/>
        </w:trPr>
        <w:tc>
          <w:tcPr>
            <w:tcW w:w="3600" w:type="dxa"/>
            <w:vAlign w:val="bottom"/>
          </w:tcPr>
          <w:p>
            <w:pPr>
              <w:ind w:left="220"/>
              <w:spacing w:after="0"/>
              <w:rPr>
                <w:sz w:val="20"/>
                <w:szCs w:val="20"/>
                <w:color w:val="auto"/>
              </w:rPr>
            </w:pPr>
            <w:r>
              <w:rPr>
                <w:rFonts w:ascii="Arial" w:cs="Arial" w:eastAsia="Arial" w:hAnsi="Arial"/>
                <w:sz w:val="14"/>
                <w:szCs w:val="14"/>
                <w:color w:val="auto"/>
              </w:rPr>
              <w:t>China</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74.65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68.03</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70.05</w:t>
            </w:r>
          </w:p>
        </w:tc>
        <w:tc>
          <w:tcPr>
            <w:tcW w:w="720" w:type="dxa"/>
            <w:vAlign w:val="bottom"/>
          </w:tcPr>
          <w:p>
            <w:pPr>
              <w:jc w:val="right"/>
              <w:spacing w:after="0"/>
              <w:rPr>
                <w:sz w:val="20"/>
                <w:szCs w:val="20"/>
                <w:color w:val="auto"/>
              </w:rPr>
            </w:pPr>
            <w:r>
              <w:rPr>
                <w:rFonts w:ascii="Arial" w:cs="Arial" w:eastAsia="Arial" w:hAnsi="Arial"/>
                <w:sz w:val="14"/>
                <w:szCs w:val="14"/>
                <w:color w:val="auto"/>
              </w:rPr>
              <w:t>63.52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w:t>
            </w:r>
          </w:p>
        </w:tc>
      </w:tr>
      <w:tr>
        <w:trPr>
          <w:trHeight w:val="207"/>
        </w:trPr>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Malaysia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79.69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71.54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73.95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73.32</w:t>
            </w:r>
          </w:p>
        </w:tc>
      </w:tr>
      <w:tr>
        <w:trPr>
          <w:trHeight w:val="196"/>
        </w:trPr>
        <w:tc>
          <w:tcPr>
            <w:tcW w:w="3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Asia Pacific</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76.64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69.65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71.72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71.05</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64.21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66.12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65.58</w:t>
            </w:r>
          </w:p>
        </w:tc>
      </w:tr>
      <w:tr>
        <w:trPr>
          <w:trHeight w:val="19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75.57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65.87</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68.94</w:t>
            </w:r>
          </w:p>
        </w:tc>
      </w:tr>
      <w:tr>
        <w:trPr>
          <w:trHeight w:val="216"/>
        </w:trPr>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64.23</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66.13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65.62</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-16510</wp:posOffset>
            </wp:positionV>
            <wp:extent cx="480060" cy="480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23495</wp:posOffset>
            </wp:positionV>
            <wp:extent cx="480060" cy="7461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0060" cy="74612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1st Qtr    2nd Qtr   3rd Qtr    4th Qtr</w:t>
            </w: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YTD</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81.77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81.77</w:t>
            </w:r>
          </w:p>
        </w:tc>
        <w:tc>
          <w:tcPr>
            <w:tcW w:w="20" w:type="dxa"/>
            <w:vAlign w:val="bottom"/>
          </w:tcPr>
          <w:p>
            <w:pPr>
              <w:spacing w:after="0"/>
              <w:rPr>
                <w:sz w:val="17"/>
                <w:szCs w:val="17"/>
                <w:color w:val="auto"/>
              </w:rPr>
            </w:pPr>
          </w:p>
        </w:tc>
      </w:tr>
      <w:tr>
        <w:trPr>
          <w:trHeight w:val="194"/>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70.30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70.30</w:t>
            </w:r>
          </w:p>
        </w:tc>
        <w:tc>
          <w:tcPr>
            <w:tcW w:w="20" w:type="dxa"/>
            <w:vAlign w:val="bottom"/>
            <w:shd w:val="clear" w:color="auto" w:fill="CCEEFF"/>
          </w:tcPr>
          <w:p>
            <w:pPr>
              <w:spacing w:after="0"/>
              <w:rPr>
                <w:sz w:val="16"/>
                <w:szCs w:val="16"/>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64.13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64.13</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75.47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75.47</w:t>
            </w:r>
          </w:p>
        </w:tc>
        <w:tc>
          <w:tcPr>
            <w:tcW w:w="20" w:type="dxa"/>
            <w:vAlign w:val="bottom"/>
            <w:shd w:val="clear" w:color="auto" w:fill="CCEEFF"/>
          </w:tcPr>
          <w:p>
            <w:pPr>
              <w:spacing w:after="0"/>
              <w:rPr>
                <w:sz w:val="17"/>
                <w:szCs w:val="17"/>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83.94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83.94</w:t>
            </w:r>
          </w:p>
        </w:tc>
        <w:tc>
          <w:tcPr>
            <w:tcW w:w="20" w:type="dxa"/>
            <w:vAlign w:val="bottom"/>
            <w:shd w:val="clear" w:color="auto" w:fill="CCEEFF"/>
          </w:tcPr>
          <w:p>
            <w:pPr>
              <w:spacing w:after="0"/>
              <w:rPr>
                <w:sz w:val="17"/>
                <w:szCs w:val="17"/>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44.71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44.71</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77.71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77.71</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79.87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79.87</w:t>
            </w:r>
          </w:p>
        </w:tc>
        <w:tc>
          <w:tcPr>
            <w:tcW w:w="20" w:type="dxa"/>
            <w:vAlign w:val="bottom"/>
            <w:shd w:val="clear" w:color="auto" w:fill="CCEEFF"/>
          </w:tcPr>
          <w:p>
            <w:pPr>
              <w:spacing w:after="0"/>
              <w:rPr>
                <w:sz w:val="16"/>
                <w:szCs w:val="16"/>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83.48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83.48</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81.14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81.14</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73.52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73.52</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68.79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68.79</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73.47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73.47</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-16510</wp:posOffset>
            </wp:positionV>
            <wp:extent cx="480060" cy="480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7380" w:space="80"/>
            <w:col w:w="3780"/>
          </w:cols>
          <w:pgMar w:left="320" w:top="1143"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NGL ($/BBL)</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22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Lower 48</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24.84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20.52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18.81</w:t>
            </w:r>
          </w:p>
        </w:tc>
        <w:tc>
          <w:tcPr>
            <w:tcW w:w="620" w:type="dxa"/>
            <w:vAlign w:val="bottom"/>
          </w:tcPr>
          <w:p>
            <w:pPr>
              <w:jc w:val="right"/>
              <w:spacing w:after="0"/>
              <w:rPr>
                <w:sz w:val="20"/>
                <w:szCs w:val="20"/>
                <w:color w:val="auto"/>
              </w:rPr>
            </w:pPr>
            <w:r>
              <w:rPr>
                <w:rFonts w:ascii="Arial" w:cs="Arial" w:eastAsia="Arial" w:hAnsi="Arial"/>
                <w:sz w:val="14"/>
                <w:szCs w:val="14"/>
                <w:color w:val="auto"/>
              </w:rPr>
              <w:t>18.76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20" w:type="dxa"/>
            <w:vAlign w:val="bottom"/>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Canada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27.96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20.63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20.98</w:t>
            </w:r>
          </w:p>
        </w:tc>
        <w:tc>
          <w:tcPr>
            <w:tcW w:w="620" w:type="dxa"/>
            <w:vAlign w:val="bottom"/>
          </w:tcPr>
          <w:p>
            <w:pPr>
              <w:jc w:val="right"/>
              <w:spacing w:after="0"/>
              <w:rPr>
                <w:sz w:val="20"/>
                <w:szCs w:val="20"/>
                <w:color w:val="auto"/>
              </w:rPr>
            </w:pPr>
            <w:r>
              <w:rPr>
                <w:rFonts w:ascii="Arial" w:cs="Arial" w:eastAsia="Arial" w:hAnsi="Arial"/>
                <w:sz w:val="14"/>
                <w:szCs w:val="14"/>
                <w:color w:val="auto"/>
              </w:rPr>
              <w:t>20.94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w:t>
            </w:r>
          </w:p>
        </w:tc>
        <w:tc>
          <w:tcPr>
            <w:tcW w:w="20" w:type="dxa"/>
            <w:vAlign w:val="bottom"/>
            <w:shd w:val="clear" w:color="auto" w:fill="CCEEFF"/>
          </w:tcPr>
          <w:p>
            <w:pPr>
              <w:spacing w:after="0"/>
              <w:rPr>
                <w:sz w:val="17"/>
                <w:szCs w:val="17"/>
                <w:color w:val="auto"/>
              </w:rPr>
            </w:pPr>
          </w:p>
        </w:tc>
      </w:tr>
      <w:tr>
        <w:trPr>
          <w:trHeight w:val="203"/>
        </w:trPr>
        <w:tc>
          <w:tcPr>
            <w:tcW w:w="3220" w:type="dxa"/>
            <w:vAlign w:val="bottom"/>
          </w:tcPr>
          <w:p>
            <w:pPr>
              <w:ind w:left="220"/>
              <w:spacing w:after="0"/>
              <w:rPr>
                <w:sz w:val="20"/>
                <w:szCs w:val="20"/>
                <w:color w:val="auto"/>
              </w:rPr>
            </w:pPr>
            <w:r>
              <w:rPr>
                <w:rFonts w:ascii="Arial" w:cs="Arial" w:eastAsia="Arial" w:hAnsi="Arial"/>
                <w:sz w:val="14"/>
                <w:szCs w:val="14"/>
                <w:color w:val="auto"/>
              </w:rPr>
              <w:t>Norway</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45.58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39.02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39.00</w:t>
            </w:r>
          </w:p>
        </w:tc>
        <w:tc>
          <w:tcPr>
            <w:tcW w:w="620" w:type="dxa"/>
            <w:vAlign w:val="bottom"/>
          </w:tcPr>
          <w:p>
            <w:pPr>
              <w:jc w:val="right"/>
              <w:spacing w:after="0"/>
              <w:rPr>
                <w:sz w:val="20"/>
                <w:szCs w:val="20"/>
                <w:color w:val="auto"/>
              </w:rPr>
            </w:pPr>
            <w:r>
              <w:rPr>
                <w:rFonts w:ascii="Arial" w:cs="Arial" w:eastAsia="Arial" w:hAnsi="Arial"/>
                <w:sz w:val="14"/>
                <w:szCs w:val="14"/>
                <w:color w:val="auto"/>
              </w:rPr>
              <w:t>30.15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w:t>
            </w:r>
          </w:p>
        </w:tc>
        <w:tc>
          <w:tcPr>
            <w:tcW w:w="20" w:type="dxa"/>
            <w:vAlign w:val="bottom"/>
            <w:shd w:val="clear" w:color="auto" w:fill="CCEEFF"/>
          </w:tcPr>
          <w:p>
            <w:pPr>
              <w:spacing w:after="0"/>
              <w:rPr>
                <w:sz w:val="17"/>
                <w:szCs w:val="17"/>
                <w:color w:val="auto"/>
              </w:rPr>
            </w:pPr>
          </w:p>
        </w:tc>
      </w:tr>
      <w:tr>
        <w:trPr>
          <w:trHeight w:val="207"/>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23.76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20.24</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24.86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20.51</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18.71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20.59</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52.34</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48.93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44.39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46.20</w:t>
            </w:r>
          </w:p>
        </w:tc>
        <w:tc>
          <w:tcPr>
            <w:tcW w:w="20" w:type="dxa"/>
            <w:vAlign w:val="bottom"/>
            <w:tcBorders>
              <w:bottom w:val="single" w:sz="8" w:color="auto"/>
            </w:tcBorders>
            <w:shd w:val="clear" w:color="auto" w:fill="CCEEFF"/>
          </w:tcPr>
          <w:p>
            <w:pPr>
              <w:spacing w:after="0"/>
              <w:rPr>
                <w:sz w:val="17"/>
                <w:szCs w:val="17"/>
                <w:color w:val="auto"/>
              </w:rPr>
            </w:pPr>
          </w:p>
        </w:tc>
      </w:tr>
      <w:tr>
        <w:trPr>
          <w:trHeight w:val="240"/>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25.40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20.98</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20" w:type="dxa"/>
            <w:vAlign w:val="bottom"/>
            <w:tcBorders>
              <w:bottom w:val="single" w:sz="8" w:color="auto"/>
            </w:tcBorders>
            <w:shd w:val="clear" w:color="auto" w:fill="CCEEFF"/>
          </w:tcPr>
          <w:p>
            <w:pPr>
              <w:spacing w:after="0"/>
              <w:rPr>
                <w:sz w:val="20"/>
                <w:szCs w:val="20"/>
                <w:color w:val="auto"/>
              </w:rPr>
            </w:pPr>
          </w:p>
        </w:tc>
      </w:tr>
      <w:tr>
        <w:trPr>
          <w:trHeight w:val="315"/>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Bitumen ($/BBL)</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0"/>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Canada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45.29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39.43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41.58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40.74</w:t>
            </w:r>
          </w:p>
        </w:tc>
        <w:tc>
          <w:tcPr>
            <w:tcW w:w="20" w:type="dxa"/>
            <w:vAlign w:val="bottom"/>
            <w:tcBorders>
              <w:bottom w:val="single" w:sz="8" w:color="auto"/>
            </w:tcBorders>
            <w:shd w:val="clear" w:color="auto" w:fill="CCEEFF"/>
          </w:tcPr>
          <w:p>
            <w:pPr>
              <w:spacing w:after="0"/>
              <w:rPr>
                <w:sz w:val="17"/>
                <w:szCs w:val="17"/>
                <w:color w:val="auto"/>
              </w:rPr>
            </w:pPr>
          </w:p>
        </w:tc>
      </w:tr>
      <w:tr>
        <w:trPr>
          <w:trHeight w:val="21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45.29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39.43</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41.58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40.74</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19.82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w:t>
            </w:r>
          </w:p>
        </w:tc>
        <w:tc>
          <w:tcPr>
            <w:tcW w:w="20" w:type="dxa"/>
            <w:vAlign w:val="bottom"/>
          </w:tcPr>
          <w:p>
            <w:pPr>
              <w:spacing w:after="0"/>
              <w:rPr>
                <w:sz w:val="17"/>
                <w:szCs w:val="17"/>
                <w:color w:val="auto"/>
              </w:rPr>
            </w:pPr>
          </w:p>
        </w:tc>
      </w:tr>
      <w:tr>
        <w:trPr>
          <w:trHeight w:val="194"/>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29.33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w:t>
            </w:r>
          </w:p>
        </w:tc>
        <w:tc>
          <w:tcPr>
            <w:tcW w:w="20" w:type="dxa"/>
            <w:vAlign w:val="bottom"/>
            <w:shd w:val="clear" w:color="auto" w:fill="CCEEFF"/>
          </w:tcPr>
          <w:p>
            <w:pPr>
              <w:spacing w:after="0"/>
              <w:rPr>
                <w:sz w:val="16"/>
                <w:szCs w:val="16"/>
                <w:color w:val="auto"/>
              </w:rPr>
            </w:pP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48.72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48.72</w:t>
            </w:r>
          </w:p>
        </w:tc>
        <w:tc>
          <w:tcPr>
            <w:tcW w:w="20" w:type="dxa"/>
            <w:vAlign w:val="bottom"/>
            <w:shd w:val="clear" w:color="auto" w:fill="CCEEFF"/>
          </w:tcPr>
          <w:p>
            <w:pPr>
              <w:spacing w:after="0"/>
              <w:rPr>
                <w:sz w:val="17"/>
                <w:szCs w:val="17"/>
                <w:color w:val="auto"/>
              </w:rPr>
            </w:pP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1.00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22.46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20.06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46.27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46.27</w:t>
            </w:r>
          </w:p>
        </w:tc>
        <w:tc>
          <w:tcPr>
            <w:tcW w:w="20" w:type="dxa"/>
            <w:vAlign w:val="bottom"/>
            <w:tcBorders>
              <w:bottom w:val="single" w:sz="8" w:color="auto"/>
            </w:tcBorders>
            <w:shd w:val="clear" w:color="auto" w:fill="CCEEFF"/>
          </w:tcPr>
          <w:p>
            <w:pPr>
              <w:spacing w:after="0"/>
              <w:rPr>
                <w:sz w:val="17"/>
                <w:szCs w:val="17"/>
                <w:color w:val="auto"/>
              </w:rPr>
            </w:pPr>
          </w:p>
        </w:tc>
      </w:tr>
      <w:tr>
        <w:trPr>
          <w:trHeight w:val="240"/>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20.42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w:t>
            </w:r>
          </w:p>
        </w:tc>
        <w:tc>
          <w:tcPr>
            <w:tcW w:w="20" w:type="dxa"/>
            <w:vAlign w:val="bottom"/>
            <w:tcBorders>
              <w:bottom w:val="single" w:sz="8" w:color="auto"/>
            </w:tcBorders>
            <w:shd w:val="clear" w:color="auto" w:fill="CCEEFF"/>
          </w:tcPr>
          <w:p>
            <w:pPr>
              <w:spacing w:after="0"/>
              <w:rPr>
                <w:sz w:val="20"/>
                <w:szCs w:val="20"/>
                <w:color w:val="auto"/>
              </w:rPr>
            </w:pPr>
          </w:p>
        </w:tc>
      </w:tr>
      <w:tr>
        <w:trPr>
          <w:trHeight w:val="51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50.37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50.37</w:t>
            </w:r>
          </w:p>
        </w:tc>
        <w:tc>
          <w:tcPr>
            <w:tcW w:w="20" w:type="dxa"/>
            <w:vAlign w:val="bottom"/>
            <w:tcBorders>
              <w:bottom w:val="single" w:sz="8" w:color="auto"/>
            </w:tcBorders>
            <w:shd w:val="clear" w:color="auto" w:fill="CCEEFF"/>
          </w:tcPr>
          <w:p>
            <w:pPr>
              <w:spacing w:after="0"/>
              <w:rPr>
                <w:sz w:val="24"/>
                <w:szCs w:val="24"/>
                <w:color w:val="auto"/>
              </w:rPr>
            </w:pPr>
          </w:p>
        </w:tc>
      </w:tr>
      <w:tr>
        <w:trPr>
          <w:trHeight w:val="21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50.37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50.37</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380" w:space="80"/>
            <w:col w:w="378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302"/>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Natural Gas ($/MCF)</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Consolidated operations</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Alaska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3.87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3.80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3.86</w:t>
            </w:r>
          </w:p>
        </w:tc>
        <w:tc>
          <w:tcPr>
            <w:tcW w:w="620" w:type="dxa"/>
            <w:vAlign w:val="bottom"/>
          </w:tcPr>
          <w:p>
            <w:pPr>
              <w:jc w:val="right"/>
              <w:spacing w:after="0"/>
              <w:rPr>
                <w:sz w:val="20"/>
                <w:szCs w:val="20"/>
                <w:color w:val="auto"/>
              </w:rPr>
            </w:pPr>
            <w:r>
              <w:rPr>
                <w:rFonts w:ascii="Arial" w:cs="Arial" w:eastAsia="Arial" w:hAnsi="Arial"/>
                <w:sz w:val="14"/>
                <w:szCs w:val="14"/>
                <w:color w:val="auto"/>
              </w:rPr>
              <w:t>3.75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Lower 48</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2.65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1.60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1.62</w:t>
            </w:r>
          </w:p>
        </w:tc>
        <w:tc>
          <w:tcPr>
            <w:tcW w:w="620" w:type="dxa"/>
            <w:vAlign w:val="bottom"/>
          </w:tcPr>
          <w:p>
            <w:pPr>
              <w:jc w:val="right"/>
              <w:spacing w:after="0"/>
              <w:rPr>
                <w:sz w:val="20"/>
                <w:szCs w:val="20"/>
                <w:color w:val="auto"/>
              </w:rPr>
            </w:pPr>
            <w:r>
              <w:rPr>
                <w:rFonts w:ascii="Arial" w:cs="Arial" w:eastAsia="Arial" w:hAnsi="Arial"/>
                <w:sz w:val="14"/>
                <w:szCs w:val="14"/>
                <w:color w:val="auto"/>
              </w:rPr>
              <w:t>1.09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203"/>
        </w:trPr>
        <w:tc>
          <w:tcPr>
            <w:tcW w:w="3220" w:type="dxa"/>
            <w:vAlign w:val="bottom"/>
          </w:tcPr>
          <w:p>
            <w:pPr>
              <w:ind w:left="140"/>
              <w:spacing w:after="0"/>
              <w:rPr>
                <w:sz w:val="20"/>
                <w:szCs w:val="20"/>
                <w:color w:val="auto"/>
              </w:rPr>
            </w:pPr>
            <w:r>
              <w:rPr>
                <w:rFonts w:ascii="Arial" w:cs="Arial" w:eastAsia="Arial" w:hAnsi="Arial"/>
                <w:sz w:val="14"/>
                <w:szCs w:val="14"/>
                <w:color w:val="auto"/>
              </w:rPr>
              <w:t>Canada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1.35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0.71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0.37</w:t>
            </w:r>
          </w:p>
        </w:tc>
        <w:tc>
          <w:tcPr>
            <w:tcW w:w="620" w:type="dxa"/>
            <w:vAlign w:val="bottom"/>
          </w:tcPr>
          <w:p>
            <w:pPr>
              <w:jc w:val="right"/>
              <w:spacing w:after="0"/>
              <w:rPr>
                <w:sz w:val="20"/>
                <w:szCs w:val="20"/>
                <w:color w:val="auto"/>
              </w:rPr>
            </w:pPr>
            <w:r>
              <w:rPr>
                <w:rFonts w:ascii="Arial" w:cs="Arial" w:eastAsia="Arial" w:hAnsi="Arial"/>
                <w:sz w:val="14"/>
                <w:szCs w:val="14"/>
                <w:color w:val="auto"/>
              </w:rPr>
              <w:t>1.69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03"/>
        </w:trPr>
        <w:tc>
          <w:tcPr>
            <w:tcW w:w="3220" w:type="dxa"/>
            <w:vAlign w:val="bottom"/>
          </w:tcPr>
          <w:p>
            <w:pPr>
              <w:ind w:left="220"/>
              <w:spacing w:after="0"/>
              <w:rPr>
                <w:sz w:val="20"/>
                <w:szCs w:val="20"/>
                <w:color w:val="auto"/>
              </w:rPr>
            </w:pPr>
            <w:r>
              <w:rPr>
                <w:rFonts w:ascii="Arial" w:cs="Arial" w:eastAsia="Arial" w:hAnsi="Arial"/>
                <w:sz w:val="14"/>
                <w:szCs w:val="14"/>
                <w:color w:val="auto"/>
              </w:rPr>
              <w:t>Norway</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14.86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11.65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11.22</w:t>
            </w:r>
          </w:p>
        </w:tc>
        <w:tc>
          <w:tcPr>
            <w:tcW w:w="620" w:type="dxa"/>
            <w:vAlign w:val="bottom"/>
          </w:tcPr>
          <w:p>
            <w:pPr>
              <w:jc w:val="right"/>
              <w:spacing w:after="0"/>
              <w:rPr>
                <w:sz w:val="20"/>
                <w:szCs w:val="20"/>
                <w:color w:val="auto"/>
              </w:rPr>
            </w:pPr>
            <w:r>
              <w:rPr>
                <w:rFonts w:ascii="Arial" w:cs="Arial" w:eastAsia="Arial" w:hAnsi="Arial"/>
                <w:sz w:val="14"/>
                <w:szCs w:val="14"/>
                <w:color w:val="auto"/>
              </w:rPr>
              <w:t>10.43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w:t>
            </w:r>
          </w:p>
        </w:tc>
      </w:tr>
      <w:tr>
        <w:trPr>
          <w:trHeight w:val="203"/>
        </w:trPr>
        <w:tc>
          <w:tcPr>
            <w:tcW w:w="3220" w:type="dxa"/>
            <w:vAlign w:val="bottom"/>
          </w:tcPr>
          <w:p>
            <w:pPr>
              <w:ind w:left="220"/>
              <w:spacing w:after="0"/>
              <w:rPr>
                <w:sz w:val="20"/>
                <w:szCs w:val="20"/>
                <w:color w:val="auto"/>
              </w:rPr>
            </w:pPr>
            <w:r>
              <w:rPr>
                <w:rFonts w:ascii="Arial" w:cs="Arial" w:eastAsia="Arial" w:hAnsi="Arial"/>
                <w:sz w:val="14"/>
                <w:szCs w:val="14"/>
                <w:color w:val="auto"/>
              </w:rPr>
              <w:t>Libya</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5.68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5.64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4.98</w:t>
            </w:r>
          </w:p>
        </w:tc>
        <w:tc>
          <w:tcPr>
            <w:tcW w:w="620" w:type="dxa"/>
            <w:vAlign w:val="bottom"/>
          </w:tcPr>
          <w:p>
            <w:pPr>
              <w:jc w:val="right"/>
              <w:spacing w:after="0"/>
              <w:rPr>
                <w:sz w:val="20"/>
                <w:szCs w:val="20"/>
                <w:color w:val="auto"/>
              </w:rPr>
            </w:pPr>
            <w:r>
              <w:rPr>
                <w:rFonts w:ascii="Arial" w:cs="Arial" w:eastAsia="Arial" w:hAnsi="Arial"/>
                <w:sz w:val="14"/>
                <w:szCs w:val="14"/>
                <w:color w:val="auto"/>
              </w:rPr>
              <w:t>4.79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r>
      <w:tr>
        <w:trPr>
          <w:trHeight w:val="207"/>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Equatorial Guinea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11.10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7.41</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9.50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w:t>
            </w:r>
          </w:p>
        </w:tc>
      </w:tr>
      <w:tr>
        <w:trPr>
          <w:trHeight w:val="196"/>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Europe, Middle East and North Africa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13.16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10.21</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10.31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10.87</w:t>
            </w:r>
          </w:p>
        </w:tc>
      </w:tr>
      <w:tr>
        <w:trPr>
          <w:trHeight w:val="196"/>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Malaysia</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3.67</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r>
      <w:tr>
        <w:trPr>
          <w:trHeight w:val="196"/>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Asia Pacific</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3.67</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3.70</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w:t>
            </w: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 consolidated operations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2.99</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r>
      <w:tr>
        <w:trPr>
          <w:trHeight w:val="196"/>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Equity affiliates</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7.56</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6.91</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w:t>
            </w:r>
          </w:p>
        </w:tc>
      </w:tr>
      <w:tr>
        <w:trPr>
          <w:trHeight w:val="192"/>
        </w:trPr>
        <w:tc>
          <w:tcPr>
            <w:tcW w:w="3220" w:type="dxa"/>
            <w:vAlign w:val="bottom"/>
          </w:tcPr>
          <w:p>
            <w:pPr>
              <w:ind w:left="10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5.62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4.16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4.28</w:t>
            </w:r>
          </w:p>
        </w:tc>
        <w:tc>
          <w:tcPr>
            <w:tcW w:w="620" w:type="dxa"/>
            <w:vAlign w:val="bottom"/>
          </w:tcPr>
          <w:p>
            <w:pPr>
              <w:jc w:val="right"/>
              <w:spacing w:after="0"/>
              <w:rPr>
                <w:sz w:val="20"/>
                <w:szCs w:val="20"/>
                <w:color w:val="auto"/>
              </w:rPr>
            </w:pPr>
            <w:r>
              <w:rPr>
                <w:rFonts w:ascii="Arial" w:cs="Arial" w:eastAsia="Arial" w:hAnsi="Arial"/>
                <w:sz w:val="14"/>
                <w:szCs w:val="14"/>
                <w:color w:val="auto"/>
              </w:rPr>
              <w:t>3.72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r>
      <w:tr>
        <w:trPr>
          <w:trHeight w:val="35"/>
        </w:trPr>
        <w:tc>
          <w:tcPr>
            <w:tcW w:w="3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1"/>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3.73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1.19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1.68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13.40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w:t>
            </w:r>
          </w:p>
        </w:tc>
      </w:tr>
      <w:tr>
        <w:trPr>
          <w:trHeight w:val="203"/>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4.98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r>
      <w:tr>
        <w:trPr>
          <w:trHeight w:val="207"/>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10.02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10.02</w:t>
            </w: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11.71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w:t>
            </w: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3.34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3.34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3.34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r>
      <w:tr>
        <w:trPr>
          <w:trHeight w:val="196"/>
        </w:trPr>
        <w:tc>
          <w:tcPr>
            <w:tcW w:w="3020" w:type="dxa"/>
            <w:vAlign w:val="bottom"/>
            <w:tcBorders>
              <w:bottom w:val="single" w:sz="8" w:color="auto"/>
            </w:tcBorders>
          </w:tcPr>
          <w:p>
            <w:pPr>
              <w:jc w:val="right"/>
              <w:ind w:right="2268"/>
              <w:spacing w:after="0"/>
              <w:rPr>
                <w:sz w:val="20"/>
                <w:szCs w:val="20"/>
                <w:color w:val="auto"/>
              </w:rPr>
            </w:pPr>
            <w:r>
              <w:rPr>
                <w:rFonts w:ascii="Arial" w:cs="Arial" w:eastAsia="Arial" w:hAnsi="Arial"/>
                <w:sz w:val="14"/>
                <w:szCs w:val="14"/>
                <w:color w:val="auto"/>
              </w:rPr>
              <w:t>5.87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w:t>
            </w:r>
          </w:p>
        </w:tc>
      </w:tr>
      <w:tr>
        <w:trPr>
          <w:trHeight w:val="192"/>
        </w:trPr>
        <w:tc>
          <w:tcPr>
            <w:tcW w:w="3020" w:type="dxa"/>
            <w:vAlign w:val="bottom"/>
          </w:tcPr>
          <w:p>
            <w:pPr>
              <w:jc w:val="right"/>
              <w:ind w:right="2268"/>
              <w:spacing w:after="0"/>
              <w:rPr>
                <w:sz w:val="20"/>
                <w:szCs w:val="20"/>
                <w:color w:val="auto"/>
              </w:rPr>
            </w:pPr>
            <w:r>
              <w:rPr>
                <w:rFonts w:ascii="Arial" w:cs="Arial" w:eastAsia="Arial" w:hAnsi="Arial"/>
                <w:sz w:val="14"/>
                <w:szCs w:val="14"/>
                <w:color w:val="auto"/>
              </w:rPr>
              <w:t>4.09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r>
      <w:tr>
        <w:trPr>
          <w:trHeight w:val="35"/>
        </w:trPr>
        <w:tc>
          <w:tcPr>
            <w:tcW w:w="3020" w:type="dxa"/>
            <w:vAlign w:val="bottom"/>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ectPr>
          <w:pgSz w:w="11900" w:h="16838" w:orient="portrait"/>
          <w:cols w:equalWidth="0" w:num="2">
            <w:col w:w="7380" w:space="80"/>
            <w:col w:w="3780"/>
          </w:cols>
          <w:pgMar w:left="320" w:top="1143" w:right="339" w:bottom="1440" w:gutter="0" w:footer="0" w:header="0"/>
          <w:type w:val="continuous"/>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3340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062990" cy="3340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27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1st Qtr</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2nd Qtr</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3rd Qtr</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4th Qtr</w:t>
            </w:r>
          </w:p>
        </w:tc>
        <w:tc>
          <w:tcPr>
            <w:tcW w:w="7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83"/>
        </w:trPr>
        <w:tc>
          <w:tcPr>
            <w:tcW w:w="2740" w:type="dxa"/>
            <w:vAlign w:val="bottom"/>
          </w:tcPr>
          <w:p>
            <w:pPr>
              <w:ind w:left="20"/>
              <w:spacing w:after="0"/>
              <w:rPr>
                <w:sz w:val="20"/>
                <w:szCs w:val="20"/>
                <w:color w:val="auto"/>
              </w:rPr>
            </w:pPr>
            <w:r>
              <w:rPr>
                <w:rFonts w:ascii="Arial" w:cs="Arial" w:eastAsia="Arial" w:hAnsi="Arial"/>
                <w:sz w:val="14"/>
                <w:szCs w:val="14"/>
                <w:b w:val="1"/>
                <w:bCs w:val="1"/>
                <w:color w:val="0000FF"/>
              </w:rPr>
              <w:t>CORPORATE AND OTHER</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Corporate and Other Earnings (Loss) ($</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color w:val="auto"/>
              </w:rPr>
              <w:t>(254)</w:t>
            </w: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color w:val="auto"/>
              </w:rPr>
              <w:t>(279)</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(468)</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(137)</w:t>
            </w:r>
          </w:p>
        </w:tc>
        <w:tc>
          <w:tcPr>
            <w:tcW w:w="78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(1,138)</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84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Detail of Corporate and Other Earnings</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(Loss), net of tax ($ Millions)</w:t>
            </w: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40" w:type="dxa"/>
            <w:vAlign w:val="bottom"/>
          </w:tcPr>
          <w:p>
            <w:pPr>
              <w:ind w:left="20"/>
              <w:spacing w:after="0"/>
              <w:rPr>
                <w:sz w:val="20"/>
                <w:szCs w:val="20"/>
                <w:color w:val="auto"/>
              </w:rPr>
            </w:pPr>
            <w:r>
              <w:rPr>
                <w:rFonts w:ascii="Arial" w:cs="Arial" w:eastAsia="Arial" w:hAnsi="Arial"/>
                <w:sz w:val="14"/>
                <w:szCs w:val="14"/>
                <w:color w:val="auto"/>
              </w:rPr>
              <w:t>Net interest expense</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(111)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(139)</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(152)</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(92)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Arial" w:cs="Arial" w:eastAsia="Arial" w:hAnsi="Arial"/>
                <w:sz w:val="14"/>
                <w:szCs w:val="14"/>
                <w:color w:val="auto"/>
              </w:rPr>
              <w:t>Corporate G&amp;A expenses</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(110)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(147)</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(163)</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(66)</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(22)</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(88)</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w:t>
            </w: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29</w:t>
            </w: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(65)</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(254)</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(279)</w:t>
            </w: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(468)</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820" w:type="dxa"/>
            <w:vAlign w:val="bottom"/>
            <w:gridSpan w:val="5"/>
          </w:tcPr>
          <w:p>
            <w:pPr>
              <w:ind w:left="20"/>
              <w:spacing w:after="0" w:line="149" w:lineRule="exact"/>
              <w:rPr>
                <w:sz w:val="20"/>
                <w:szCs w:val="20"/>
                <w:color w:val="auto"/>
              </w:rPr>
            </w:pPr>
            <w:r>
              <w:rPr>
                <w:rFonts w:ascii="Arial" w:cs="Arial" w:eastAsia="Arial" w:hAnsi="Arial"/>
                <w:sz w:val="14"/>
                <w:szCs w:val="14"/>
                <w:i w:val="1"/>
                <w:iCs w:val="1"/>
                <w:color w:val="auto"/>
              </w:rPr>
              <w:t>*Includes investment in new technologies or businesses outside of our normal scope of</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20"/>
              <w:spacing w:after="0"/>
              <w:rPr>
                <w:sz w:val="20"/>
                <w:szCs w:val="20"/>
                <w:color w:val="auto"/>
              </w:rPr>
            </w:pPr>
            <w:r>
              <w:rPr>
                <w:rFonts w:ascii="Arial" w:cs="Arial" w:eastAsia="Arial" w:hAnsi="Arial"/>
                <w:sz w:val="14"/>
                <w:szCs w:val="14"/>
                <w:i w:val="1"/>
                <w:iCs w:val="1"/>
                <w:color w:val="auto"/>
              </w:rPr>
              <w:t>operations and licensing revenues.</w:t>
            </w: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Corporate and Other Interest Expense,</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before-tax ($ Millions)</w:t>
            </w: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40" w:type="dxa"/>
            <w:vAlign w:val="bottom"/>
          </w:tcPr>
          <w:p>
            <w:pPr>
              <w:ind w:left="20"/>
              <w:spacing w:after="0"/>
              <w:rPr>
                <w:sz w:val="20"/>
                <w:szCs w:val="20"/>
                <w:color w:val="auto"/>
              </w:rPr>
            </w:pPr>
            <w:r>
              <w:rPr>
                <w:rFonts w:ascii="Arial" w:cs="Arial" w:eastAsia="Arial" w:hAnsi="Arial"/>
                <w:sz w:val="14"/>
                <w:szCs w:val="14"/>
                <w:color w:val="auto"/>
              </w:rPr>
              <w:t>Incurred interest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(285)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(324)</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(325)</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(305)</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Capitalized interest*</w:t>
            </w: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80</w:t>
            </w: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92</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102</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Interest and debt expense</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(205)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(232)</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(223)</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(195)</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income</w:t>
            </w: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74</w:t>
            </w: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65</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60</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Interest Expense</w:t>
            </w: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(131)</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(167)</w:t>
            </w: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(163)</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820" w:type="dxa"/>
            <w:vAlign w:val="bottom"/>
            <w:gridSpan w:val="5"/>
          </w:tcPr>
          <w:p>
            <w:pPr>
              <w:ind w:left="20"/>
              <w:spacing w:after="0" w:line="149" w:lineRule="exact"/>
              <w:rPr>
                <w:sz w:val="20"/>
                <w:szCs w:val="20"/>
                <w:color w:val="auto"/>
              </w:rPr>
            </w:pPr>
            <w:r>
              <w:rPr>
                <w:rFonts w:ascii="Arial" w:cs="Arial" w:eastAsia="Arial" w:hAnsi="Arial"/>
                <w:sz w:val="14"/>
                <w:szCs w:val="14"/>
                <w:i w:val="1"/>
                <w:iCs w:val="1"/>
                <w:color w:val="auto"/>
              </w:rPr>
              <w:t>*Capitalized interest represents before-tax interest from external borrowings which is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820" w:type="dxa"/>
            <w:vAlign w:val="bottom"/>
            <w:gridSpan w:val="5"/>
          </w:tcPr>
          <w:p>
            <w:pPr>
              <w:ind w:left="20"/>
              <w:spacing w:after="0"/>
              <w:rPr>
                <w:sz w:val="20"/>
                <w:szCs w:val="20"/>
                <w:color w:val="auto"/>
              </w:rPr>
            </w:pPr>
            <w:r>
              <w:rPr>
                <w:rFonts w:ascii="Arial" w:cs="Arial" w:eastAsia="Arial" w:hAnsi="Arial"/>
                <w:sz w:val="14"/>
                <w:szCs w:val="14"/>
                <w:i w:val="1"/>
                <w:iCs w:val="1"/>
                <w:color w:val="auto"/>
              </w:rPr>
              <w:t>capitalized on major projects with an expected construction period of one year or longer.</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92"/>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Debt</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rPr>
                <w:sz w:val="20"/>
                <w:szCs w:val="20"/>
                <w:color w:val="auto"/>
              </w:rPr>
            </w:pPr>
            <w:r>
              <w:rPr>
                <w:rFonts w:ascii="Arial" w:cs="Arial" w:eastAsia="Arial" w:hAnsi="Arial"/>
                <w:sz w:val="14"/>
                <w:szCs w:val="14"/>
                <w:color w:val="auto"/>
              </w:rPr>
              <w:t>Total debt ($ Millions)</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23,784</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23,529</w:t>
            </w: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23,482</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23,444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Debt-to-capital ratio (%)</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27 %</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26 %</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w:t>
            </w:r>
          </w:p>
        </w:tc>
        <w:tc>
          <w:tcPr>
            <w:tcW w:w="0" w:type="dxa"/>
            <w:vAlign w:val="bottom"/>
          </w:tcPr>
          <w:p>
            <w:pPr>
              <w:spacing w:after="0"/>
              <w:rPr>
                <w:sz w:val="1"/>
                <w:szCs w:val="1"/>
                <w:color w:val="auto"/>
              </w:rPr>
            </w:pPr>
          </w:p>
        </w:tc>
      </w:tr>
      <w:tr>
        <w:trPr>
          <w:trHeight w:val="334"/>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Equity ($ Millions)</w:t>
            </w: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65,238</w:t>
            </w: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65,572</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64,923</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64,487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64,487</w:t>
            </w:r>
          </w:p>
        </w:tc>
        <w:tc>
          <w:tcPr>
            <w:tcW w:w="1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Certain totals and percentages may differ from the sum of the underlying components due to rounding.</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00FF"/>
        </w:rPr>
        <w:t>REFERENCE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Commonly Used Abbreviations</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Earnings</w:t>
      </w:r>
      <w:r>
        <w:rPr>
          <w:sz w:val="20"/>
          <w:szCs w:val="20"/>
          <w:color w:val="auto"/>
        </w:rPr>
        <w:tab/>
      </w:r>
      <w:r>
        <w:rPr>
          <w:rFonts w:ascii="Arial" w:cs="Arial" w:eastAsia="Arial" w:hAnsi="Arial"/>
          <w:sz w:val="14"/>
          <w:szCs w:val="14"/>
          <w:color w:val="auto"/>
        </w:rPr>
        <w:t>Net Income (loss) Attributable to ConocoPhillips</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DD&amp;A</w:t>
      </w:r>
      <w:r>
        <w:rPr>
          <w:sz w:val="20"/>
          <w:szCs w:val="20"/>
          <w:color w:val="auto"/>
        </w:rPr>
        <w:tab/>
      </w:r>
      <w:r>
        <w:rPr>
          <w:rFonts w:ascii="Arial" w:cs="Arial" w:eastAsia="Arial" w:hAnsi="Arial"/>
          <w:sz w:val="14"/>
          <w:szCs w:val="14"/>
          <w:color w:val="auto"/>
        </w:rPr>
        <w:t>Depreciation, Depletion and Amortization</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G&amp;G</w:t>
      </w:r>
      <w:r>
        <w:rPr>
          <w:sz w:val="20"/>
          <w:szCs w:val="20"/>
          <w:color w:val="auto"/>
        </w:rPr>
        <w:tab/>
      </w:r>
      <w:r>
        <w:rPr>
          <w:rFonts w:ascii="Arial" w:cs="Arial" w:eastAsia="Arial" w:hAnsi="Arial"/>
          <w:sz w:val="14"/>
          <w:szCs w:val="14"/>
          <w:color w:val="auto"/>
        </w:rPr>
        <w:t>Geological and Geophysical</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G&amp;A</w:t>
      </w:r>
      <w:r>
        <w:rPr>
          <w:sz w:val="20"/>
          <w:szCs w:val="20"/>
          <w:color w:val="auto"/>
        </w:rPr>
        <w:tab/>
      </w:r>
      <w:r>
        <w:rPr>
          <w:rFonts w:ascii="Arial" w:cs="Arial" w:eastAsia="Arial" w:hAnsi="Arial"/>
          <w:sz w:val="14"/>
          <w:szCs w:val="14"/>
          <w:color w:val="auto"/>
        </w:rPr>
        <w:t>General and Administrative</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JCC</w:t>
      </w:r>
      <w:r>
        <w:rPr>
          <w:sz w:val="20"/>
          <w:szCs w:val="20"/>
          <w:color w:val="auto"/>
        </w:rPr>
        <w:tab/>
      </w:r>
      <w:r>
        <w:rPr>
          <w:rFonts w:ascii="Arial" w:cs="Arial" w:eastAsia="Arial" w:hAnsi="Arial"/>
          <w:sz w:val="14"/>
          <w:szCs w:val="14"/>
          <w:color w:val="auto"/>
        </w:rPr>
        <w:t>Japan Crude Cocktail</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LNG</w:t>
      </w:r>
      <w:r>
        <w:rPr>
          <w:sz w:val="20"/>
          <w:szCs w:val="20"/>
          <w:color w:val="auto"/>
        </w:rPr>
        <w:tab/>
      </w:r>
      <w:r>
        <w:rPr>
          <w:rFonts w:ascii="Arial" w:cs="Arial" w:eastAsia="Arial" w:hAnsi="Arial"/>
          <w:sz w:val="14"/>
          <w:szCs w:val="14"/>
          <w:color w:val="auto"/>
        </w:rPr>
        <w:t>Liquefied Natural Gas</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NGLs</w:t>
      </w:r>
      <w:r>
        <w:rPr>
          <w:sz w:val="20"/>
          <w:szCs w:val="20"/>
          <w:color w:val="auto"/>
        </w:rPr>
        <w:tab/>
      </w:r>
      <w:r>
        <w:rPr>
          <w:rFonts w:ascii="Arial" w:cs="Arial" w:eastAsia="Arial" w:hAnsi="Arial"/>
          <w:sz w:val="14"/>
          <w:szCs w:val="14"/>
          <w:color w:val="auto"/>
        </w:rPr>
        <w:t>Natural Gas Liquids</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WCS</w:t>
      </w:r>
      <w:r>
        <w:rPr>
          <w:sz w:val="20"/>
          <w:szCs w:val="20"/>
          <w:color w:val="auto"/>
        </w:rPr>
        <w:tab/>
      </w:r>
      <w:r>
        <w:rPr>
          <w:rFonts w:ascii="Arial" w:cs="Arial" w:eastAsia="Arial" w:hAnsi="Arial"/>
          <w:sz w:val="14"/>
          <w:szCs w:val="14"/>
          <w:color w:val="auto"/>
        </w:rPr>
        <w:t>Western Canadian Select</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WTI</w:t>
      </w:r>
      <w:r>
        <w:rPr>
          <w:sz w:val="20"/>
          <w:szCs w:val="20"/>
          <w:color w:val="auto"/>
        </w:rPr>
        <w:tab/>
      </w:r>
      <w:r>
        <w:rPr>
          <w:rFonts w:ascii="Arial" w:cs="Arial" w:eastAsia="Arial" w:hAnsi="Arial"/>
          <w:sz w:val="14"/>
          <w:szCs w:val="14"/>
          <w:color w:val="auto"/>
        </w:rPr>
        <w:t>West Texas Intermediate</w:t>
      </w:r>
    </w:p>
    <w:p>
      <w:pPr>
        <w:spacing w:after="0" w:line="20" w:lineRule="exact"/>
        <w:rPr>
          <w:sz w:val="20"/>
          <w:szCs w:val="20"/>
          <w:color w:val="auto"/>
        </w:rPr>
      </w:pPr>
      <w:r>
        <w:rPr>
          <w:sz w:val="20"/>
          <w:szCs w:val="20"/>
          <w:color w:val="auto"/>
        </w:rPr>
        <w:br w:type="column"/>
      </w:r>
    </w:p>
    <w:p>
      <w:pPr>
        <w:jc w:val="center"/>
        <w:ind w:right="99"/>
        <w:spacing w:after="0"/>
        <w:rPr>
          <w:sz w:val="20"/>
          <w:szCs w:val="20"/>
          <w:color w:val="auto"/>
        </w:rPr>
      </w:pPr>
      <w:r>
        <w:rPr>
          <w:rFonts w:ascii="Arial" w:cs="Arial" w:eastAsia="Arial" w:hAnsi="Arial"/>
          <w:sz w:val="14"/>
          <w:szCs w:val="14"/>
          <w:b w:val="1"/>
          <w:bCs w:val="1"/>
          <w:color w:val="auto"/>
        </w:rPr>
        <w:t>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1st Qtr   2nd Qtr  3rd Qtr  4th Qtr</w:t>
            </w:r>
          </w:p>
        </w:tc>
        <w:tc>
          <w:tcPr>
            <w:tcW w:w="780" w:type="dxa"/>
            <w:vAlign w:val="bottom"/>
            <w:tcBorders>
              <w:top w:val="single" w:sz="8" w:color="auto"/>
              <w:bottom w:val="single" w:sz="8" w:color="auto"/>
            </w:tcBorders>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YTD</w:t>
            </w:r>
          </w:p>
        </w:tc>
      </w:tr>
      <w:tr>
        <w:trPr>
          <w:trHeight w:val="710"/>
        </w:trPr>
        <w:tc>
          <w:tcPr>
            <w:tcW w:w="2600" w:type="dxa"/>
            <w:vAlign w:val="bottom"/>
            <w:tcBorders>
              <w:bottom w:val="single" w:sz="8" w:color="auto"/>
            </w:tcBorders>
          </w:tcPr>
          <w:p>
            <w:pPr>
              <w:jc w:val="right"/>
              <w:ind w:right="1908"/>
              <w:spacing w:after="0"/>
              <w:rPr>
                <w:sz w:val="20"/>
                <w:szCs w:val="20"/>
                <w:color w:val="auto"/>
              </w:rPr>
            </w:pPr>
            <w:r>
              <w:rPr>
                <w:rFonts w:ascii="Arial" w:cs="Arial" w:eastAsia="Arial" w:hAnsi="Arial"/>
                <w:sz w:val="14"/>
                <w:szCs w:val="14"/>
                <w:color w:val="auto"/>
              </w:rPr>
              <w:t>(159)</w:t>
            </w:r>
          </w:p>
        </w:tc>
        <w:tc>
          <w:tcPr>
            <w:tcW w:w="780" w:type="dxa"/>
            <w:vAlign w:val="bottom"/>
            <w:tcBorders>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(159)</w:t>
            </w:r>
          </w:p>
        </w:tc>
      </w:tr>
      <w:tr>
        <w:trPr>
          <w:trHeight w:val="796"/>
        </w:trPr>
        <w:tc>
          <w:tcPr>
            <w:tcW w:w="2600" w:type="dxa"/>
            <w:vAlign w:val="bottom"/>
          </w:tcPr>
          <w:p>
            <w:pPr>
              <w:jc w:val="right"/>
              <w:ind w:right="1908"/>
              <w:spacing w:after="0"/>
              <w:rPr>
                <w:sz w:val="20"/>
                <w:szCs w:val="20"/>
                <w:color w:val="auto"/>
              </w:rPr>
            </w:pPr>
            <w:r>
              <w:rPr>
                <w:rFonts w:ascii="Arial" w:cs="Arial" w:eastAsia="Arial" w:hAnsi="Arial"/>
                <w:sz w:val="14"/>
                <w:szCs w:val="14"/>
                <w:color w:val="auto"/>
              </w:rPr>
              <w:t>(78)</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24"/>
                <w:szCs w:val="24"/>
                <w:color w:val="auto"/>
              </w:rPr>
            </w:pPr>
          </w:p>
        </w:tc>
      </w:tr>
      <w:tr>
        <w:trPr>
          <w:trHeight w:val="203"/>
        </w:trPr>
        <w:tc>
          <w:tcPr>
            <w:tcW w:w="2600" w:type="dxa"/>
            <w:vAlign w:val="bottom"/>
          </w:tcPr>
          <w:p>
            <w:pPr>
              <w:jc w:val="right"/>
              <w:ind w:right="1908"/>
              <w:spacing w:after="0"/>
              <w:rPr>
                <w:sz w:val="20"/>
                <w:szCs w:val="20"/>
                <w:color w:val="auto"/>
              </w:rPr>
            </w:pPr>
            <w:r>
              <w:rPr>
                <w:rFonts w:ascii="Arial" w:cs="Arial" w:eastAsia="Arial" w:hAnsi="Arial"/>
                <w:sz w:val="14"/>
                <w:szCs w:val="14"/>
                <w:color w:val="auto"/>
              </w:rPr>
              <w:t>(97)</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60" w:type="dxa"/>
            <w:vAlign w:val="bottom"/>
            <w:shd w:val="clear" w:color="auto" w:fill="CCEEFF"/>
          </w:tcPr>
          <w:p>
            <w:pPr>
              <w:spacing w:after="0"/>
              <w:rPr>
                <w:sz w:val="17"/>
                <w:szCs w:val="17"/>
                <w:color w:val="auto"/>
              </w:rPr>
            </w:pPr>
          </w:p>
        </w:tc>
      </w:tr>
      <w:tr>
        <w:trPr>
          <w:trHeight w:val="203"/>
        </w:trPr>
        <w:tc>
          <w:tcPr>
            <w:tcW w:w="2600" w:type="dxa"/>
            <w:vAlign w:val="bottom"/>
          </w:tcPr>
          <w:p>
            <w:pPr>
              <w:jc w:val="right"/>
              <w:ind w:right="1908"/>
              <w:spacing w:after="0"/>
              <w:rPr>
                <w:sz w:val="20"/>
                <w:szCs w:val="20"/>
                <w:color w:val="auto"/>
              </w:rPr>
            </w:pPr>
            <w:r>
              <w:rPr>
                <w:rFonts w:ascii="Arial" w:cs="Arial" w:eastAsia="Arial" w:hAnsi="Arial"/>
                <w:sz w:val="14"/>
                <w:szCs w:val="14"/>
                <w:color w:val="auto"/>
              </w:rPr>
              <w:t>(7)</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7"/>
                <w:szCs w:val="17"/>
                <w:color w:val="auto"/>
              </w:rPr>
            </w:pPr>
          </w:p>
        </w:tc>
      </w:tr>
      <w:tr>
        <w:trPr>
          <w:trHeight w:val="206"/>
        </w:trPr>
        <w:tc>
          <w:tcPr>
            <w:tcW w:w="2600" w:type="dxa"/>
            <w:vAlign w:val="bottom"/>
            <w:tcBorders>
              <w:bottom w:val="single" w:sz="8" w:color="auto"/>
            </w:tcBorders>
          </w:tcPr>
          <w:p>
            <w:pPr>
              <w:jc w:val="right"/>
              <w:ind w:right="1948"/>
              <w:spacing w:after="0"/>
              <w:rPr>
                <w:sz w:val="20"/>
                <w:szCs w:val="20"/>
                <w:color w:val="auto"/>
              </w:rPr>
            </w:pPr>
            <w:r>
              <w:rPr>
                <w:rFonts w:ascii="Arial" w:cs="Arial" w:eastAsia="Arial" w:hAnsi="Arial"/>
                <w:sz w:val="14"/>
                <w:szCs w:val="14"/>
                <w:color w:val="auto"/>
              </w:rPr>
              <w:t>23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60" w:type="dxa"/>
            <w:vAlign w:val="bottom"/>
            <w:tcBorders>
              <w:bottom w:val="single" w:sz="8" w:color="auto"/>
            </w:tcBorders>
            <w:shd w:val="clear" w:color="auto" w:fill="CCEEFF"/>
          </w:tcPr>
          <w:p>
            <w:pPr>
              <w:spacing w:after="0"/>
              <w:rPr>
                <w:sz w:val="17"/>
                <w:szCs w:val="17"/>
                <w:color w:val="auto"/>
              </w:rPr>
            </w:pPr>
          </w:p>
        </w:tc>
      </w:tr>
      <w:tr>
        <w:trPr>
          <w:trHeight w:val="241"/>
        </w:trPr>
        <w:tc>
          <w:tcPr>
            <w:tcW w:w="2600" w:type="dxa"/>
            <w:vAlign w:val="bottom"/>
            <w:tcBorders>
              <w:bottom w:val="single" w:sz="8" w:color="auto"/>
            </w:tcBorders>
          </w:tcPr>
          <w:p>
            <w:pPr>
              <w:jc w:val="right"/>
              <w:ind w:right="1908"/>
              <w:spacing w:after="0"/>
              <w:rPr>
                <w:sz w:val="20"/>
                <w:szCs w:val="20"/>
                <w:color w:val="auto"/>
              </w:rPr>
            </w:pPr>
            <w:r>
              <w:rPr>
                <w:rFonts w:ascii="Arial" w:cs="Arial" w:eastAsia="Arial" w:hAnsi="Arial"/>
                <w:sz w:val="14"/>
                <w:szCs w:val="14"/>
                <w:color w:val="auto"/>
              </w:rPr>
              <w:t>(159)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60" w:type="dxa"/>
            <w:vAlign w:val="bottom"/>
            <w:tcBorders>
              <w:bottom w:val="single" w:sz="8" w:color="auto"/>
            </w:tcBorders>
            <w:shd w:val="clear" w:color="auto" w:fill="CCEEFF"/>
          </w:tcPr>
          <w:p>
            <w:pPr>
              <w:spacing w:after="0"/>
              <w:rPr>
                <w:sz w:val="20"/>
                <w:szCs w:val="20"/>
                <w:color w:val="auto"/>
              </w:rPr>
            </w:pPr>
          </w:p>
        </w:tc>
      </w:tr>
      <w:tr>
        <w:trPr>
          <w:trHeight w:val="1160"/>
        </w:trPr>
        <w:tc>
          <w:tcPr>
            <w:tcW w:w="2600" w:type="dxa"/>
            <w:vAlign w:val="bottom"/>
          </w:tcPr>
          <w:p>
            <w:pPr>
              <w:jc w:val="right"/>
              <w:ind w:right="1908"/>
              <w:spacing w:after="0"/>
              <w:rPr>
                <w:sz w:val="20"/>
                <w:szCs w:val="20"/>
                <w:color w:val="auto"/>
              </w:rPr>
            </w:pPr>
            <w:r>
              <w:rPr>
                <w:rFonts w:ascii="Arial" w:cs="Arial" w:eastAsia="Arial" w:hAnsi="Arial"/>
                <w:sz w:val="14"/>
                <w:szCs w:val="14"/>
                <w:color w:val="auto"/>
              </w:rPr>
              <w:t>(318)</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60" w:type="dxa"/>
            <w:vAlign w:val="bottom"/>
            <w:shd w:val="clear" w:color="auto" w:fill="CCEEFF"/>
          </w:tcPr>
          <w:p>
            <w:pPr>
              <w:spacing w:after="0"/>
              <w:rPr>
                <w:sz w:val="24"/>
                <w:szCs w:val="24"/>
                <w:color w:val="auto"/>
              </w:rPr>
            </w:pPr>
          </w:p>
        </w:tc>
      </w:tr>
      <w:tr>
        <w:trPr>
          <w:trHeight w:val="207"/>
        </w:trPr>
        <w:tc>
          <w:tcPr>
            <w:tcW w:w="2600" w:type="dxa"/>
            <w:vAlign w:val="bottom"/>
            <w:tcBorders>
              <w:bottom w:val="single" w:sz="8" w:color="auto"/>
            </w:tcBorders>
          </w:tcPr>
          <w:p>
            <w:pPr>
              <w:jc w:val="right"/>
              <w:ind w:right="1948"/>
              <w:spacing w:after="0"/>
              <w:rPr>
                <w:sz w:val="20"/>
                <w:szCs w:val="20"/>
                <w:color w:val="auto"/>
              </w:rPr>
            </w:pPr>
            <w:r>
              <w:rPr>
                <w:rFonts w:ascii="Arial" w:cs="Arial" w:eastAsia="Arial" w:hAnsi="Arial"/>
                <w:sz w:val="14"/>
                <w:szCs w:val="14"/>
                <w:color w:val="auto"/>
              </w:rPr>
              <w:t>120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60" w:type="dxa"/>
            <w:vAlign w:val="bottom"/>
            <w:tcBorders>
              <w:bottom w:val="single" w:sz="8" w:color="auto"/>
            </w:tcBorders>
            <w:shd w:val="clear" w:color="auto" w:fill="CCEEFF"/>
          </w:tcPr>
          <w:p>
            <w:pPr>
              <w:spacing w:after="0"/>
              <w:rPr>
                <w:sz w:val="17"/>
                <w:szCs w:val="17"/>
                <w:color w:val="auto"/>
              </w:rPr>
            </w:pPr>
          </w:p>
        </w:tc>
      </w:tr>
      <w:tr>
        <w:trPr>
          <w:trHeight w:val="192"/>
        </w:trPr>
        <w:tc>
          <w:tcPr>
            <w:tcW w:w="2600" w:type="dxa"/>
            <w:vAlign w:val="bottom"/>
          </w:tcPr>
          <w:p>
            <w:pPr>
              <w:jc w:val="right"/>
              <w:ind w:right="1908"/>
              <w:spacing w:after="0"/>
              <w:rPr>
                <w:sz w:val="20"/>
                <w:szCs w:val="20"/>
                <w:color w:val="auto"/>
              </w:rPr>
            </w:pPr>
            <w:r>
              <w:rPr>
                <w:rFonts w:ascii="Arial" w:cs="Arial" w:eastAsia="Arial" w:hAnsi="Arial"/>
                <w:sz w:val="14"/>
                <w:szCs w:val="14"/>
                <w:color w:val="auto"/>
              </w:rPr>
              <w:t>(198)</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60" w:type="dxa"/>
            <w:vAlign w:val="bottom"/>
            <w:shd w:val="clear" w:color="auto" w:fill="CCEEFF"/>
          </w:tcPr>
          <w:p>
            <w:pPr>
              <w:spacing w:after="0"/>
              <w:rPr>
                <w:sz w:val="16"/>
                <w:szCs w:val="16"/>
                <w:color w:val="auto"/>
              </w:rPr>
            </w:pPr>
          </w:p>
        </w:tc>
      </w:tr>
      <w:tr>
        <w:trPr>
          <w:trHeight w:val="207"/>
        </w:trPr>
        <w:tc>
          <w:tcPr>
            <w:tcW w:w="2600" w:type="dxa"/>
            <w:vAlign w:val="bottom"/>
            <w:tcBorders>
              <w:bottom w:val="single" w:sz="8" w:color="auto"/>
            </w:tcBorders>
          </w:tcPr>
          <w:p>
            <w:pPr>
              <w:jc w:val="right"/>
              <w:ind w:right="1948"/>
              <w:spacing w:after="0"/>
              <w:rPr>
                <w:sz w:val="20"/>
                <w:szCs w:val="20"/>
                <w:color w:val="auto"/>
              </w:rPr>
            </w:pPr>
            <w:r>
              <w:rPr>
                <w:rFonts w:ascii="Arial" w:cs="Arial" w:eastAsia="Arial" w:hAnsi="Arial"/>
                <w:sz w:val="14"/>
                <w:szCs w:val="14"/>
                <w:color w:val="auto"/>
              </w:rPr>
              <w:t>109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60" w:type="dxa"/>
            <w:vAlign w:val="bottom"/>
            <w:tcBorders>
              <w:bottom w:val="single" w:sz="8" w:color="auto"/>
            </w:tcBorders>
            <w:shd w:val="clear" w:color="auto" w:fill="CCEEFF"/>
          </w:tcPr>
          <w:p>
            <w:pPr>
              <w:spacing w:after="0"/>
              <w:rPr>
                <w:sz w:val="17"/>
                <w:szCs w:val="17"/>
                <w:color w:val="auto"/>
              </w:rPr>
            </w:pPr>
          </w:p>
        </w:tc>
      </w:tr>
      <w:tr>
        <w:trPr>
          <w:trHeight w:val="241"/>
        </w:trPr>
        <w:tc>
          <w:tcPr>
            <w:tcW w:w="2600" w:type="dxa"/>
            <w:vAlign w:val="bottom"/>
            <w:tcBorders>
              <w:bottom w:val="single" w:sz="8" w:color="auto"/>
            </w:tcBorders>
          </w:tcPr>
          <w:p>
            <w:pPr>
              <w:jc w:val="right"/>
              <w:ind w:right="1908"/>
              <w:spacing w:after="0"/>
              <w:rPr>
                <w:sz w:val="20"/>
                <w:szCs w:val="20"/>
                <w:color w:val="auto"/>
              </w:rPr>
            </w:pPr>
            <w:r>
              <w:rPr>
                <w:rFonts w:ascii="Arial" w:cs="Arial" w:eastAsia="Arial" w:hAnsi="Arial"/>
                <w:sz w:val="14"/>
                <w:szCs w:val="14"/>
                <w:color w:val="auto"/>
              </w:rPr>
              <w:t>(89)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60" w:type="dxa"/>
            <w:vAlign w:val="bottom"/>
            <w:tcBorders>
              <w:bottom w:val="single" w:sz="8" w:color="auto"/>
            </w:tcBorders>
            <w:shd w:val="clear" w:color="auto" w:fill="CCEEFF"/>
          </w:tcPr>
          <w:p>
            <w:pPr>
              <w:spacing w:after="0"/>
              <w:rPr>
                <w:sz w:val="20"/>
                <w:szCs w:val="20"/>
                <w:color w:val="auto"/>
              </w:rPr>
            </w:pPr>
          </w:p>
        </w:tc>
      </w:tr>
      <w:tr>
        <w:trPr>
          <w:trHeight w:val="1025"/>
        </w:trPr>
        <w:tc>
          <w:tcPr>
            <w:tcW w:w="2600" w:type="dxa"/>
            <w:vAlign w:val="bottom"/>
          </w:tcPr>
          <w:p>
            <w:pPr>
              <w:jc w:val="right"/>
              <w:ind w:right="1948"/>
              <w:spacing w:after="0"/>
              <w:rPr>
                <w:sz w:val="20"/>
                <w:szCs w:val="20"/>
                <w:color w:val="auto"/>
              </w:rPr>
            </w:pPr>
            <w:r>
              <w:rPr>
                <w:rFonts w:ascii="Arial" w:cs="Arial" w:eastAsia="Arial" w:hAnsi="Arial"/>
                <w:sz w:val="14"/>
                <w:szCs w:val="14"/>
                <w:color w:val="auto"/>
              </w:rPr>
              <w:t>23,327</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23,327</w:t>
            </w:r>
          </w:p>
        </w:tc>
        <w:tc>
          <w:tcPr>
            <w:tcW w:w="160" w:type="dxa"/>
            <w:vAlign w:val="bottom"/>
            <w:shd w:val="clear" w:color="auto" w:fill="CCEEFF"/>
          </w:tcPr>
          <w:p>
            <w:pPr>
              <w:spacing w:after="0"/>
              <w:rPr>
                <w:sz w:val="24"/>
                <w:szCs w:val="24"/>
                <w:color w:val="auto"/>
              </w:rPr>
            </w:pPr>
          </w:p>
        </w:tc>
      </w:tr>
      <w:tr>
        <w:trPr>
          <w:trHeight w:val="207"/>
        </w:trPr>
        <w:tc>
          <w:tcPr>
            <w:tcW w:w="2600" w:type="dxa"/>
            <w:vAlign w:val="bottom"/>
            <w:tcBorders>
              <w:bottom w:val="single" w:sz="8" w:color="auto"/>
            </w:tcBorders>
          </w:tcPr>
          <w:p>
            <w:pPr>
              <w:jc w:val="right"/>
              <w:ind w:right="1788"/>
              <w:spacing w:after="0"/>
              <w:rPr>
                <w:sz w:val="20"/>
                <w:szCs w:val="20"/>
                <w:color w:val="auto"/>
              </w:rPr>
            </w:pPr>
            <w:r>
              <w:rPr>
                <w:rFonts w:ascii="Arial" w:cs="Arial" w:eastAsia="Arial" w:hAnsi="Arial"/>
                <w:sz w:val="14"/>
                <w:szCs w:val="14"/>
                <w:color w:val="auto"/>
              </w:rPr>
              <w:t>27 %</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w:t>
            </w:r>
          </w:p>
        </w:tc>
      </w:tr>
      <w:tr>
        <w:trPr>
          <w:trHeight w:val="331"/>
        </w:trPr>
        <w:tc>
          <w:tcPr>
            <w:tcW w:w="2600" w:type="dxa"/>
            <w:vAlign w:val="bottom"/>
            <w:tcBorders>
              <w:bottom w:val="single" w:sz="8" w:color="auto"/>
            </w:tcBorders>
          </w:tcPr>
          <w:p>
            <w:pPr>
              <w:jc w:val="right"/>
              <w:ind w:right="1948"/>
              <w:spacing w:after="0"/>
              <w:rPr>
                <w:sz w:val="20"/>
                <w:szCs w:val="20"/>
                <w:color w:val="auto"/>
              </w:rPr>
            </w:pPr>
            <w:r>
              <w:rPr>
                <w:rFonts w:ascii="Arial" w:cs="Arial" w:eastAsia="Arial" w:hAnsi="Arial"/>
                <w:sz w:val="14"/>
                <w:szCs w:val="14"/>
                <w:color w:val="auto"/>
              </w:rPr>
              <w:t>64,541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64,541</w:t>
            </w:r>
          </w:p>
        </w:tc>
        <w:tc>
          <w:tcPr>
            <w:tcW w:w="160" w:type="dxa"/>
            <w:vAlign w:val="bottom"/>
            <w:tcBorders>
              <w:bottom w:val="single" w:sz="8" w:color="auto"/>
            </w:tcBorders>
            <w:shd w:val="clear" w:color="auto" w:fill="CCEEFF"/>
          </w:tcPr>
          <w:p>
            <w:pPr>
              <w:spacing w:after="0"/>
              <w:rPr>
                <w:sz w:val="24"/>
                <w:szCs w:val="24"/>
                <w:color w:val="auto"/>
              </w:rPr>
            </w:pPr>
          </w:p>
        </w:tc>
      </w:tr>
    </w:tbl>
    <w:p>
      <w:pPr>
        <w:spacing w:after="0" w:line="3024" w:lineRule="exact"/>
        <w:rPr>
          <w:sz w:val="20"/>
          <w:szCs w:val="20"/>
          <w:color w:val="auto"/>
        </w:rPr>
      </w:pPr>
    </w:p>
    <w:p>
      <w:pPr>
        <w:sectPr>
          <w:pgSz w:w="11900" w:h="16838" w:orient="portrait"/>
          <w:cols w:equalWidth="0" w:num="2">
            <w:col w:w="6600" w:space="80"/>
            <w:col w:w="3459"/>
          </w:cols>
          <w:pgMar w:left="320" w:top="1143" w:right="1440" w:bottom="1440" w:gutter="0" w:footer="0" w:header="0"/>
        </w:sect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Units of Measurement</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BBL</w:t>
      </w:r>
      <w:r>
        <w:rPr>
          <w:sz w:val="20"/>
          <w:szCs w:val="20"/>
          <w:color w:val="auto"/>
        </w:rPr>
        <w:tab/>
      </w:r>
      <w:r>
        <w:rPr>
          <w:rFonts w:ascii="Arial" w:cs="Arial" w:eastAsia="Arial" w:hAnsi="Arial"/>
          <w:sz w:val="14"/>
          <w:szCs w:val="14"/>
          <w:color w:val="auto"/>
        </w:rPr>
        <w:t>Barrel</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BOE</w:t>
      </w:r>
      <w:r>
        <w:rPr>
          <w:sz w:val="20"/>
          <w:szCs w:val="20"/>
          <w:color w:val="auto"/>
        </w:rPr>
        <w:tab/>
      </w:r>
      <w:r>
        <w:rPr>
          <w:rFonts w:ascii="Arial" w:cs="Arial" w:eastAsia="Arial" w:hAnsi="Arial"/>
          <w:sz w:val="14"/>
          <w:szCs w:val="14"/>
          <w:color w:val="auto"/>
        </w:rPr>
        <w:t>Barrel of Oil Equivalent</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MMBBL</w:t>
      </w:r>
      <w:r>
        <w:rPr>
          <w:sz w:val="20"/>
          <w:szCs w:val="20"/>
          <w:color w:val="auto"/>
        </w:rPr>
        <w:tab/>
      </w:r>
      <w:r>
        <w:rPr>
          <w:rFonts w:ascii="Arial" w:cs="Arial" w:eastAsia="Arial" w:hAnsi="Arial"/>
          <w:sz w:val="14"/>
          <w:szCs w:val="14"/>
          <w:color w:val="auto"/>
        </w:rPr>
        <w:t>Million of Barrels</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MBD</w:t>
      </w:r>
      <w:r>
        <w:rPr>
          <w:sz w:val="20"/>
          <w:szCs w:val="20"/>
          <w:color w:val="auto"/>
        </w:rPr>
        <w:tab/>
      </w:r>
      <w:r>
        <w:rPr>
          <w:rFonts w:ascii="Arial" w:cs="Arial" w:eastAsia="Arial" w:hAnsi="Arial"/>
          <w:sz w:val="14"/>
          <w:szCs w:val="14"/>
          <w:color w:val="auto"/>
        </w:rPr>
        <w:t>Thousand of Barrels per Day</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MBOED</w:t>
      </w:r>
      <w:r>
        <w:rPr>
          <w:sz w:val="20"/>
          <w:szCs w:val="20"/>
          <w:color w:val="auto"/>
        </w:rPr>
        <w:tab/>
      </w:r>
      <w:r>
        <w:rPr>
          <w:rFonts w:ascii="Arial" w:cs="Arial" w:eastAsia="Arial" w:hAnsi="Arial"/>
          <w:sz w:val="14"/>
          <w:szCs w:val="14"/>
          <w:color w:val="auto"/>
        </w:rPr>
        <w:t>Thousand of Barrels of Oil Equivalent per Day</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MCF</w:t>
      </w:r>
      <w:r>
        <w:rPr>
          <w:sz w:val="20"/>
          <w:szCs w:val="20"/>
          <w:color w:val="auto"/>
        </w:rPr>
        <w:tab/>
      </w:r>
      <w:r>
        <w:rPr>
          <w:rFonts w:ascii="Arial" w:cs="Arial" w:eastAsia="Arial" w:hAnsi="Arial"/>
          <w:sz w:val="14"/>
          <w:szCs w:val="14"/>
          <w:color w:val="auto"/>
        </w:rPr>
        <w:t>Thousand Cubic Feet</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MMBTU</w:t>
      </w:r>
      <w:r>
        <w:rPr>
          <w:sz w:val="20"/>
          <w:szCs w:val="20"/>
          <w:color w:val="auto"/>
        </w:rPr>
        <w:tab/>
      </w:r>
      <w:r>
        <w:rPr>
          <w:rFonts w:ascii="Arial" w:cs="Arial" w:eastAsia="Arial" w:hAnsi="Arial"/>
          <w:sz w:val="14"/>
          <w:szCs w:val="14"/>
          <w:color w:val="auto"/>
        </w:rPr>
        <w:t>Million British Thermal Units</w:t>
      </w:r>
    </w:p>
    <w:p>
      <w:pPr>
        <w:spacing w:after="0" w:line="4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4"/>
          <w:szCs w:val="14"/>
          <w:color w:val="auto"/>
        </w:rPr>
        <w:t>MMCFD</w:t>
      </w:r>
      <w:r>
        <w:rPr>
          <w:sz w:val="20"/>
          <w:szCs w:val="20"/>
          <w:color w:val="auto"/>
        </w:rPr>
        <w:tab/>
      </w:r>
      <w:r>
        <w:rPr>
          <w:rFonts w:ascii="Arial" w:cs="Arial" w:eastAsia="Arial" w:hAnsi="Arial"/>
          <w:sz w:val="14"/>
          <w:szCs w:val="14"/>
          <w:color w:val="auto"/>
        </w:rPr>
        <w:t>Million Cubic Feet per Day</w:t>
      </w:r>
    </w:p>
    <w:sectPr>
      <w:pgSz w:w="11900" w:h="16838" w:orient="portrait"/>
      <w:cols w:equalWidth="0" w:num="1">
        <w:col w:w="10139"/>
      </w:cols>
      <w:pgMar w:left="320" w:top="114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2026-04-30T06:33:28Z</dcterms:created>
  <dcterms:modified xsi:type="dcterms:W3CDTF">2026-04-30T06:33:28Z</dcterms:modified>
</cp:coreProperties>
</file>