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55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55993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NIBLOCK ROBERT 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16930 PARK ROW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CONOCOPHILLIPS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77084</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322</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322</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112.18</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95,531.55</w:t>
            </w:r>
            <w:r>
              <w:rPr>
                <w:rFonts w:ascii="Times New Roman" w:cs="Times New Roman" w:eastAsia="Times New Roman" w:hAnsi="Times New Roman"/>
                <w:sz w:val="21"/>
                <w:szCs w:val="21"/>
                <w:color w:val="008000"/>
                <w:vertAlign w:val="superscript"/>
              </w:rPr>
              <w:t>(3)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units represent ConocoPhillips common stock on a 1-for-1 basis.</w:t>
      </w:r>
    </w:p>
    <w:p>
      <w:pPr>
        <w:spacing w:after="0" w:line="45" w:lineRule="exact"/>
        <w:rPr>
          <w:rFonts w:ascii="Times New Roman" w:cs="Times New Roman" w:eastAsia="Times New Roman" w:hAnsi="Times New Roman"/>
          <w:sz w:val="13"/>
          <w:szCs w:val="13"/>
          <w:color w:val="008000"/>
        </w:rPr>
      </w:pPr>
    </w:p>
    <w:p>
      <w:pPr>
        <w:ind w:left="40" w:right="5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receive payment in five equal annual installments beginning one year following separation from service, which election may be changed by the reporting person to provide for an alternative schedule of deferred payments.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dividend equivalent units acquired through routine transactions that are exempt under rule 16a-11.</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Monica E. White,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8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(by Power of Attorney</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63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POWER OF ATTORNEY</w:t>
      </w:r>
    </w:p>
    <w:p>
      <w:pPr>
        <w:spacing w:after="0" w:line="206" w:lineRule="exact"/>
        <w:rPr>
          <w:sz w:val="20"/>
          <w:szCs w:val="20"/>
          <w:color w:val="auto"/>
        </w:rPr>
      </w:pPr>
    </w:p>
    <w:p>
      <w:pPr>
        <w:jc w:val="both"/>
        <w:ind w:firstLine="731"/>
        <w:spacing w:after="0" w:line="243" w:lineRule="auto"/>
        <w:rPr>
          <w:sz w:val="20"/>
          <w:szCs w:val="20"/>
          <w:color w:val="auto"/>
        </w:rPr>
      </w:pPr>
      <w:r>
        <w:rPr>
          <w:rFonts w:ascii="Times New Roman" w:cs="Times New Roman" w:eastAsia="Times New Roman" w:hAnsi="Times New Roman"/>
          <w:sz w:val="21"/>
          <w:szCs w:val="21"/>
          <w:color w:val="auto"/>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as my true and lawful attorney-in-fact with full power and authority:</w:t>
      </w:r>
    </w:p>
    <w:p>
      <w:pPr>
        <w:spacing w:after="0" w:line="169" w:lineRule="exact"/>
        <w:rPr>
          <w:sz w:val="20"/>
          <w:szCs w:val="20"/>
          <w:color w:val="auto"/>
        </w:rPr>
      </w:pPr>
    </w:p>
    <w:p>
      <w:pPr>
        <w:ind w:left="1460" w:hanging="724"/>
        <w:spacing w:after="0" w:line="263" w:lineRule="auto"/>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prepare, execute in my name and on my behalf, and file with the U.S. Securities and Exchange Commission (the “SEC”) any of the following forms which I may be required or permitted to file:</w:t>
      </w:r>
    </w:p>
    <w:p>
      <w:pPr>
        <w:spacing w:after="0" w:line="148" w:lineRule="exact"/>
        <w:rPr>
          <w:rFonts w:ascii="Times New Roman" w:cs="Times New Roman" w:eastAsia="Times New Roman" w:hAnsi="Times New Roman"/>
          <w:sz w:val="21"/>
          <w:szCs w:val="21"/>
          <w:color w:val="auto"/>
        </w:rPr>
      </w:pPr>
    </w:p>
    <w:p>
      <w:pPr>
        <w:jc w:val="both"/>
        <w:ind w:left="2140" w:right="740" w:hanging="673"/>
        <w:spacing w:after="0" w:line="248"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ID and any other documents necessary or appropriate to obtain codes and passwords enabling the undersigned to make electronic filings with the SEC of reports required by Section 16(a) of the Exchange Act or any rule or regulation of the SEC;</w:t>
      </w:r>
    </w:p>
    <w:p>
      <w:pPr>
        <w:spacing w:after="0" w:line="163" w:lineRule="exact"/>
        <w:rPr>
          <w:rFonts w:ascii="Times New Roman" w:cs="Times New Roman" w:eastAsia="Times New Roman" w:hAnsi="Times New Roman"/>
          <w:sz w:val="21"/>
          <w:szCs w:val="21"/>
          <w:color w:val="auto"/>
        </w:rPr>
      </w:pPr>
    </w:p>
    <w:p>
      <w:pPr>
        <w:ind w:left="2140" w:right="740" w:hanging="673"/>
        <w:spacing w:after="0" w:line="263"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Forms 3, 4 and 5 or any other reports or statements of beneficial ownership or changes of beneficial ownership necessary or appropriate under Section 16(a) of the Exchange Act; and</w:t>
      </w:r>
    </w:p>
    <w:p>
      <w:pPr>
        <w:spacing w:after="0" w:line="148" w:lineRule="exact"/>
        <w:rPr>
          <w:rFonts w:ascii="Times New Roman" w:cs="Times New Roman" w:eastAsia="Times New Roman" w:hAnsi="Times New Roman"/>
          <w:sz w:val="21"/>
          <w:szCs w:val="21"/>
          <w:color w:val="auto"/>
        </w:rPr>
      </w:pPr>
    </w:p>
    <w:p>
      <w:pPr>
        <w:ind w:left="2140" w:right="740" w:hanging="673"/>
        <w:spacing w:after="0" w:line="263" w:lineRule="auto"/>
        <w:tabs>
          <w:tab w:leader="none" w:pos="214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144, or any other notice of proposed sale of securities or other document necessary or appropriate under Rule 144 of the Securities Act.</w:t>
      </w:r>
    </w:p>
    <w:p>
      <w:pPr>
        <w:spacing w:after="0" w:line="148" w:lineRule="exact"/>
        <w:rPr>
          <w:rFonts w:ascii="Times New Roman" w:cs="Times New Roman" w:eastAsia="Times New Roman" w:hAnsi="Times New Roman"/>
          <w:sz w:val="21"/>
          <w:szCs w:val="21"/>
          <w:color w:val="auto"/>
        </w:rPr>
      </w:pPr>
    </w:p>
    <w:p>
      <w:pPr>
        <w:jc w:val="both"/>
        <w:ind w:left="1460" w:hanging="724"/>
        <w:spacing w:after="0" w:line="245" w:lineRule="auto"/>
        <w:tabs>
          <w:tab w:leader="none" w:pos="14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do and perform any and all acts for and on my behalf which may be necessary or desirable to complete and execute any such Form ID, 3, 4, 5, or 144, complete and execute any amendment or amendments thereto, and</w:t>
      </w:r>
    </w:p>
    <w:p>
      <w:pPr>
        <w:ind w:left="1460"/>
        <w:spacing w:after="0" w:line="233" w:lineRule="auto"/>
        <w:rPr>
          <w:sz w:val="20"/>
          <w:szCs w:val="20"/>
          <w:color w:val="auto"/>
        </w:rPr>
      </w:pPr>
      <w:r>
        <w:rPr>
          <w:rFonts w:ascii="Times New Roman" w:cs="Times New Roman" w:eastAsia="Times New Roman" w:hAnsi="Times New Roman"/>
          <w:sz w:val="21"/>
          <w:szCs w:val="21"/>
          <w:color w:val="auto"/>
        </w:rPr>
        <w:t>timely file such form with the SEC and any stock exchange or similar authority.</w:t>
      </w:r>
    </w:p>
    <w:p>
      <w:pPr>
        <w:jc w:val="both"/>
        <w:ind w:firstLine="731"/>
        <w:spacing w:after="0" w:line="234" w:lineRule="auto"/>
        <w:rPr>
          <w:sz w:val="20"/>
          <w:szCs w:val="20"/>
          <w:color w:val="auto"/>
        </w:rPr>
      </w:pPr>
      <w:r>
        <w:rPr>
          <w:rFonts w:ascii="Times New Roman" w:cs="Times New Roman" w:eastAsia="Times New Roman" w:hAnsi="Times New Roman"/>
          <w:sz w:val="21"/>
          <w:szCs w:val="21"/>
          <w:color w:val="auto"/>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Signature page follows</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946150</wp:posOffset>
            </wp:positionV>
            <wp:extent cx="699262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80"/>
          </w:cols>
          <w:pgMar w:left="460" w:top="1359" w:right="459" w:bottom="1440" w:gutter="0" w:footer="0" w:header="0"/>
        </w:sectPr>
      </w:pPr>
    </w:p>
    <w:bookmarkStart w:id="2" w:name="page3"/>
    <w:bookmarkEnd w:id="2"/>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May</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Robert A. Niblock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853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5356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1"/>
          <w:szCs w:val="21"/>
          <w:color w:val="auto"/>
        </w:rPr>
        <w:t>Robert A. Niblock</w:t>
      </w:r>
    </w:p>
    <w:p>
      <w:pPr>
        <w:sectPr>
          <w:pgSz w:w="11900" w:h="16838" w:orient="portrait"/>
          <w:cols w:equalWidth="0" w:num="1">
            <w:col w:w="10980"/>
          </w:cols>
          <w:pgMar w:left="460" w:top="132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TEXAS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0" w:lineRule="exact"/>
        <w:rPr>
          <w:sz w:val="20"/>
          <w:szCs w:val="20"/>
          <w:color w:val="auto"/>
        </w:rPr>
      </w:pPr>
    </w:p>
    <w:p>
      <w:pPr>
        <w:sectPr>
          <w:pgSz w:w="11900" w:h="16838" w:orient="portrait"/>
          <w:cols w:equalWidth="0" w:num="2">
            <w:col w:w="1780" w:space="720"/>
            <w:col w:w="8480"/>
          </w:cols>
          <w:pgMar w:left="460" w:top="1324" w:right="45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324" w:right="4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HARRIS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21"/>
          <w:szCs w:val="21"/>
          <w:color w:val="auto"/>
        </w:rPr>
        <w:t>§</w:t>
      </w:r>
    </w:p>
    <w:p>
      <w:pPr>
        <w:spacing w:after="0" w:line="185" w:lineRule="exact"/>
        <w:rPr>
          <w:sz w:val="20"/>
          <w:szCs w:val="20"/>
          <w:color w:val="auto"/>
        </w:rPr>
      </w:pPr>
    </w:p>
    <w:p>
      <w:pPr>
        <w:sectPr>
          <w:pgSz w:w="11900" w:h="16838" w:orient="portrait"/>
          <w:cols w:equalWidth="0" w:num="2">
            <w:col w:w="2000" w:space="80"/>
            <w:col w:w="8900"/>
          </w:cols>
          <w:pgMar w:left="460" w:top="1324" w:right="459" w:bottom="1440" w:gutter="0" w:footer="0" w:header="0"/>
          <w:type w:val="continuous"/>
        </w:sectPr>
      </w:pPr>
    </w:p>
    <w:p>
      <w:pPr>
        <w:ind w:right="20" w:firstLine="731"/>
        <w:spacing w:after="0" w:line="220" w:lineRule="auto"/>
        <w:rPr>
          <w:sz w:val="20"/>
          <w:szCs w:val="20"/>
          <w:color w:val="auto"/>
        </w:rPr>
      </w:pPr>
      <w:r>
        <w:rPr>
          <w:rFonts w:ascii="Times New Roman" w:cs="Times New Roman" w:eastAsia="Times New Roman" w:hAnsi="Times New Roman"/>
          <w:sz w:val="21"/>
          <w:szCs w:val="21"/>
          <w:color w:val="auto"/>
        </w:rPr>
        <w:t>On this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May 2026, Robert A. Niblock personally appeared before me and acknowledged that he executed the foregoing instrument for the purposes therein contained.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Heather Dawn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58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1"/>
          <w:szCs w:val="21"/>
          <w:color w:val="auto"/>
        </w:rPr>
        <w:t>Notary Public</w:t>
      </w:r>
    </w:p>
    <w:p>
      <w:pPr>
        <w:ind w:left="4400"/>
        <w:spacing w:after="0"/>
        <w:rPr>
          <w:sz w:val="20"/>
          <w:szCs w:val="20"/>
          <w:color w:val="auto"/>
        </w:rPr>
      </w:pPr>
      <w:r>
        <w:rPr>
          <w:rFonts w:ascii="Times New Roman" w:cs="Times New Roman" w:eastAsia="Times New Roman" w:hAnsi="Times New Roman"/>
          <w:sz w:val="21"/>
          <w:szCs w:val="21"/>
          <w:color w:val="auto"/>
        </w:rPr>
        <w:t>My Commission Expires: May 24,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845820</wp:posOffset>
            </wp:positionV>
            <wp:extent cx="699262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80"/>
      </w:cols>
      <w:pgMar w:left="460" w:top="132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19923" TargetMode="External"/><Relationship Id="rId14" Type="http://schemas.openxmlformats.org/officeDocument/2006/relationships/hyperlink" Target="http://www.sec.gov/cgi-bin/browse-edgar?action=getcompany&amp;CIK=0001163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2026-06-16T15:31:17Z</dcterms:created>
  <dcterms:modified xsi:type="dcterms:W3CDTF">2026-06-16T15:31:17Z</dcterms:modified>
</cp:coreProperties>
</file>