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ConocoPhillips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Concho Resources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001-33615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November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472"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The following passage is an excerpt from a transcript of a video message recorded on October 28, 2020 from Kirk Johnson, President, ConocoPhillips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Canada to ConocoPhillips Canada staff.</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Rutherford, Jill</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Hello, my name is Jill Rutherford with the Communications and Community Investment team and it's my pleasure to sit down with Kirk today. Kirk, it's been awhile since we've spoken and there's been a couple of big announcements in the past week or so. Can you share with us your thoughts on the Concho acquisition, as well as the announcement of our environmental, social and governance goals last week and provide us with some context on both.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Johnson, Kirk L</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Absolutely and thank you Jill. So clearly, the announcement that came out here just last week by the company is just an extremely exciting opportunity again for the company; 8 billion barrels of resource at $30 or less cost of supply of just truly core Permian acreage is fantastic and I think it speaks just so well on behalf of the company and how disciplined we've been in how we speak about and how we think about the opportunity for consolidation in the industry.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And then, as you mentioned, strategically, with the announcement comes an ESG commitment that not only makes us the largest independent E&amp;P company, but also the first U.S.-based E&amp;P to make such an aggressive ESG commitment that now aligns us with the Paris Accord or, more specifically, for us to be net zero on Scope 1 and Scope 2 emissions by 2050.</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So within that, I must acknowledge that while this news is really quite exciting, it can be equally unsettling, and so as we should expect, anytime there's a coming together of companies in an acquisition such as this, it involves some suite of strategic decisions on capital allocation, investment and the coming together of specific organizations and that affects people. And so we simply need to be ready and prepared to support the center and the Lower 48 in any way they might require as they seek to navigate this with Concho over the coming months.</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Having said all of that, in context of these announcements, from my perspective, the short story might simply be COP continues to set itself apart as having a differential strategy, differential assets, and of course, a differential set of people, underpinned by our SPIRIT values. And that's something for us to be very proud of.</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ConocoPhillips and Concho. Forward-looking statements relate to future events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and the anticipated closing date for the proposed transaction and other aspects of our operations or operating results. Words and phrases such as “anticipate,” “estimate,” “believe,” “budget,” “continue,” “could,” “intend,” “may,” “plan,” “potential,” “predict,” “seek,” “should,” “will,” “would,” “expect,” “objective,” “projection,” “forecast,” “goal,” “guidance,” “outlook,” “effort,” “target” and other similar words can be used to identify forward-looking statements. However, the absence of these words does not mean that the statements are not forward-looking. Where, in any forward-looking statement, the company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our control. Therefore, actual outcomes and results may differ materially from what is expressed or forecast in the forward-looking statements.</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or events to differ materially from those described in these forward-looking statements: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global and regional changes in the demand, supply, prices, differentials or other market conditions affecting oil and gas and the resulting actions in response to such changes, including changes resulting from the imposition or lifting of crude oil production quotas or other actions that might be imposed by the Organization of Petroleum Exporting Countries and other producing countries; changes in commodity prices; changes in expected levels of oil and gas reserves or production; operating hazards, drilling risks, unsuccessful exploratory activities; unexpected cost increases or technical difficulties in constructing, maintaining, or modifying company facilities; legislative and regulatory initiatives addressing global climate change or other environmental concerns; investment in and development of competing or alternative energy sources; disruptions or interruptions impacting the transportation for oil and gas production; international monetary conditions and exchange rate fluctuations; changes in international trade relationships, including the imposition of trade restrictions or tariffs on any materials or products (such as aluminum and steel) used in the operation of ConocoPhillips’ business; ConocoPhillips’ ability to collect payments when due under ConocoPhillips’ settlement agreement with PDVSA; ConocoPhillips’ ability to collect payments from the government of Venezuela as ordered by the ICSID; ConocoPhillips’ ability to liquidate the common stock issued to ConocoPhillips by Cenovus Energy Inc. at prices ConocoPhillips deems acceptable, or at all; ConocoPhillips’ ability to complete ConocoPhillips’ other announced dispositions or acquisitions on the timeline currently anticipated, if at all; the possibility that regulatory approvals for ConocoPhillips’ other announced dispositions or acquisitions will not be received on a timely basis, if at all, or that such approvals may require modification to the terms of such announced dispositions, acquisitions or ConocoPhillips’ remaining business; business disruptions during or following ConocoPhillips’ other announced dispositions or acquisitions, including the diversion of management time and attention; the ability to deploy net proceeds from such dispositions in the manner and timeframe ConocoPhillips currently anticipates, if at all; potential liability for remedial actions under existing or future environmental regulations and adverse results in litigation matters, including the potential for litigation related to the proposed transaction; limited access to capital or significantly higher cost of capital related to illiquidity or uncertainty in the domestic or international financial markets; general domestic and international economic and political conditions; changes in fiscal regime or tax, environmental and other laws applicable to the combined company’s business; disruptions resulting from extraordinary weather events, civil unrest, war, terrorism or a cyber attack; ConocoPhillips’ ability to successfully integrate Concho’s businesses and technologies; the risk that the expected benefits and synergies of the proposed transaction may not be fully achieved in a timely manner, or at all; the risk that ConocoPhillips or Concho will be unable to retain and hire key personnel; the risk associated with ConocoPhillips’ and Concho’s ability to obtain the approvals of their respective stockholders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ConocoPhillips’ common stock; and the diversion of management time on transaction-related matters. These risks, as well as other risks related to the proposed transaction, will be included in the registration statement on Form S-4 and joint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ConocoPhillips’ and Concho’s respective periodic reports and other filings with the SEC, including the risk factors contained in ConocoPhillips’ and Concho’s most recent Quarterly Reports on Form 10-Q and Annual Reports on Form 10-K. Forward-looking statements represent management’s current expectations and are inherently uncertain and are made only as of the date hereof. Except as required by law, neither ConocoPhillips nor Concho undertakes or assumes any obligation to update any forward-looking statements, whether as a result of new information or to reflect subsequent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ConocoPhillips intends to file with the SEC a registration statement on Form S-4 that will include a joint proxy statement of ConocoPhillips and Concho and that also constitutes a prospectus of ConocoPhillips. Each of ConocoPhillips and Concho may also file other relevant documents with the SEC regarding the proposed transaction. This document is not a substitute for the joint proxy statement/prospectus or registration statement or any other document that ConocoPhillips or Concho may file with the SEC. The definitive joint proxy statement/prospectus (if and when available) will be mailed to stockholders of ConocoPhillips and Concho.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ConocoPhillips, Concho and the proposed transaction, once such documents are filed with the SEC through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the documents filed with the SEC by ConocoPhillips will be available free of charge on ConocoPhillips’ website at </w:t>
      </w:r>
      <w:r>
        <w:rPr>
          <w:rFonts w:ascii="Times New Roman" w:cs="Times New Roman" w:eastAsia="Times New Roman" w:hAnsi="Times New Roman"/>
          <w:sz w:val="18"/>
          <w:szCs w:val="18"/>
          <w:i w:val="1"/>
          <w:iCs w:val="1"/>
          <w:color w:val="auto"/>
        </w:rPr>
        <w:t>http://www</w:t>
      </w:r>
      <w:r>
        <w:rPr>
          <w:rFonts w:ascii="Times New Roman" w:cs="Times New Roman" w:eastAsia="Times New Roman" w:hAnsi="Times New Roman"/>
          <w:sz w:val="18"/>
          <w:szCs w:val="18"/>
          <w:i w:val="1"/>
          <w:iCs w:val="1"/>
          <w:color w:val="0000FF"/>
        </w:rPr>
        <w:t>.</w:t>
      </w:r>
      <w:r>
        <w:rPr>
          <w:rFonts w:ascii="Times New Roman" w:cs="Times New Roman" w:eastAsia="Times New Roman" w:hAnsi="Times New Roman"/>
          <w:sz w:val="18"/>
          <w:szCs w:val="18"/>
          <w:i w:val="1"/>
          <w:iCs w:val="1"/>
          <w:color w:val="auto"/>
        </w:rPr>
        <w:t>conocophillips</w:t>
      </w:r>
      <w:r>
        <w:rPr>
          <w:rFonts w:ascii="Times New Roman" w:cs="Times New Roman" w:eastAsia="Times New Roman" w:hAnsi="Times New Roman"/>
          <w:sz w:val="18"/>
          <w:szCs w:val="18"/>
          <w:i w:val="1"/>
          <w:iCs w:val="1"/>
          <w:color w:val="0000FF"/>
        </w:rPr>
        <w:t>.</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or by contacting ConocoPhillips’ Investor Relations Department by email at investor.relations@conocophillips.com or by phone at 281-293-5000. Copies of the documents filed with the SEC by Concho will be available free of charge on Concho’s investor relations website at </w:t>
      </w:r>
      <w:r>
        <w:rPr>
          <w:rFonts w:ascii="Times New Roman" w:cs="Times New Roman" w:eastAsia="Times New Roman" w:hAnsi="Times New Roman"/>
          <w:sz w:val="18"/>
          <w:szCs w:val="18"/>
          <w:i w:val="1"/>
          <w:iCs w:val="1"/>
          <w:color w:val="auto"/>
        </w:rPr>
        <w:t>https://ir.concho.com/investors/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ConocoPhillips, Concho and certain of their respective directors and executive officers may be deemed to be participants in the solicitation of proxies in respect of the proposed transaction. Information about the directors and executive officers of ConocoPhillips, including a description of their direct or indirect interests, by security holdings or otherwise, is set forth in ConocoPhillips’ proxy statement for its 2020 Annual Meeting of Stockholders, which was filed with the SEC on March 30, 2020, and ConocoPhillips’ Annual Report on Form 10-K for the fiscal year ended December 31, 2019, which was filed with the SEC on February 18, 2020, as well as in Forms 8-K filed by ConocoPhillips with the SEC on May 20, 2020 and September 8, 2020, respectively. Information about the directors and executive officers of Concho, including a description of their direct or indirect interests, by security holdings or otherwise, is set forth in Concho’s proxy statement for its 2020 Annual Meeting of Stockholders, which was filed with the SEC on March 16, 2020, and Concho’s Annual Report on Form 10-K for the fiscal year ended December 31, 2019, which was filed with the SEC on February 19, 2020.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ConocoPhillips or Concho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2020-11-02T15:11:40Z</dcterms:created>
  <dcterms:modified xsi:type="dcterms:W3CDTF">2020-11-02T15:11:40Z</dcterms:modified>
</cp:coreProperties>
</file>