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ConocoPhillips</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Marathon Oil Corporation</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001-05153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May 29, 2024</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following email was sent by ConocoPhillips to certain investors and analysts covering ConocoPhillips on May 29, 2024.</w:t>
      </w:r>
      <w:r>
        <w:rPr>
          <w:rFonts w:ascii="Times New Roman" w:cs="Times New Roman" w:eastAsia="Times New Roman" w:hAnsi="Times New Roman"/>
          <w:sz w:val="18"/>
          <w:szCs w:val="18"/>
          <w:color w:val="auto"/>
        </w:rPr>
        <w:t>]</w:t>
      </w:r>
    </w:p>
    <w:p>
      <w:pPr>
        <w:spacing w:after="0" w:line="227" w:lineRule="exact"/>
        <w:rPr>
          <w:sz w:val="24"/>
          <w:szCs w:val="24"/>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This morning we have announced the acquisition of Marathon Oil Corporation. Attached is the press release and related slide presentation for the conference call we are hosting at 10am ET. Below is a summary of key takeaways:</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Overview</w:t>
      </w:r>
    </w:p>
    <w:p>
      <w:pPr>
        <w:spacing w:after="0" w:line="225"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 of Marathon Oil Corporation is expected to be </w:t>
      </w:r>
      <w:r>
        <w:rPr>
          <w:rFonts w:ascii="Times New Roman" w:cs="Times New Roman" w:eastAsia="Times New Roman" w:hAnsi="Times New Roman"/>
          <w:sz w:val="18"/>
          <w:szCs w:val="18"/>
          <w:b w:val="1"/>
          <w:bCs w:val="1"/>
          <w:color w:val="auto"/>
        </w:rPr>
        <w:t>immediately accretive to earnings, cash flows, and return of capital per share.</w:t>
      </w:r>
    </w:p>
    <w:p>
      <w:pPr>
        <w:spacing w:after="0" w:line="31"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ConocoPhillips expects to </w:t>
      </w:r>
      <w:r>
        <w:rPr>
          <w:rFonts w:ascii="Times New Roman" w:cs="Times New Roman" w:eastAsia="Times New Roman" w:hAnsi="Times New Roman"/>
          <w:sz w:val="18"/>
          <w:szCs w:val="18"/>
          <w:b w:val="1"/>
          <w:bCs w:val="1"/>
          <w:color w:val="auto"/>
        </w:rPr>
        <w:t>achieve at least $500 million of run rate cost and capital savings</w:t>
      </w:r>
      <w:r>
        <w:rPr>
          <w:rFonts w:ascii="Times New Roman" w:cs="Times New Roman" w:eastAsia="Times New Roman" w:hAnsi="Times New Roman"/>
          <w:sz w:val="18"/>
          <w:szCs w:val="18"/>
          <w:color w:val="auto"/>
        </w:rPr>
        <w:t xml:space="preserve"> within the first full year following the closing of the transaction.</w:t>
      </w:r>
    </w:p>
    <w:p>
      <w:pPr>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Independent of the transaction, ConocoPhillips expects to </w:t>
      </w:r>
      <w:r>
        <w:rPr>
          <w:rFonts w:ascii="Times New Roman" w:cs="Times New Roman" w:eastAsia="Times New Roman" w:hAnsi="Times New Roman"/>
          <w:sz w:val="18"/>
          <w:szCs w:val="18"/>
          <w:b w:val="1"/>
          <w:bCs w:val="1"/>
          <w:color w:val="auto"/>
        </w:rPr>
        <w:t>increase its ordinary base dividend by 34%</w:t>
      </w:r>
      <w:r>
        <w:rPr>
          <w:rFonts w:ascii="Times New Roman" w:cs="Times New Roman" w:eastAsia="Times New Roman" w:hAnsi="Times New Roman"/>
          <w:sz w:val="18"/>
          <w:szCs w:val="18"/>
          <w:color w:val="auto"/>
        </w:rPr>
        <w:t xml:space="preserve"> to 78 cents per share starting in the fourth quarter of 2024.</w:t>
      </w:r>
    </w:p>
    <w:p>
      <w:pPr>
        <w:ind w:left="660" w:right="40" w:hanging="328"/>
        <w:spacing w:after="0" w:line="26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closing of the transaction, the company expects </w:t>
      </w:r>
      <w:r>
        <w:rPr>
          <w:rFonts w:ascii="Times New Roman" w:cs="Times New Roman" w:eastAsia="Times New Roman" w:hAnsi="Times New Roman"/>
          <w:sz w:val="18"/>
          <w:szCs w:val="18"/>
          <w:b w:val="1"/>
          <w:bCs w:val="1"/>
          <w:color w:val="auto"/>
        </w:rPr>
        <w:t>share buybacks to be over $20 billion in the first three years, with over $7 billion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first full year</w:t>
      </w:r>
      <w:r>
        <w:rPr>
          <w:rFonts w:ascii="Times New Roman" w:cs="Times New Roman" w:eastAsia="Times New Roman" w:hAnsi="Times New Roman"/>
          <w:sz w:val="18"/>
          <w:szCs w:val="18"/>
          <w:color w:val="auto"/>
        </w:rPr>
        <w:t>, at recent commodity prices.</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Benefits</w:t>
      </w:r>
    </w:p>
    <w:p>
      <w:pPr>
        <w:spacing w:after="0" w:line="225" w:lineRule="exact"/>
        <w:rPr>
          <w:sz w:val="24"/>
          <w:szCs w:val="24"/>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Fits our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Adds &gt;2 BBOE</w:t>
      </w:r>
      <w:r>
        <w:rPr>
          <w:rFonts w:ascii="Times New Roman" w:cs="Times New Roman" w:eastAsia="Times New Roman" w:hAnsi="Times New Roman"/>
          <w:sz w:val="18"/>
          <w:szCs w:val="18"/>
          <w:color w:val="auto"/>
        </w:rPr>
        <w:t xml:space="preserve"> of highly complementary resource with point forward cost of supply </w:t>
      </w:r>
      <w:r>
        <w:rPr>
          <w:rFonts w:ascii="Times New Roman" w:cs="Times New Roman" w:eastAsia="Times New Roman" w:hAnsi="Times New Roman"/>
          <w:sz w:val="18"/>
          <w:szCs w:val="18"/>
          <w:b w:val="1"/>
          <w:bCs w:val="1"/>
          <w:color w:val="auto"/>
        </w:rPr>
        <w:t>&lt;$30/bbl WTI</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Makes our plan better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Immediately accretive</w:t>
      </w:r>
      <w:r>
        <w:rPr>
          <w:rFonts w:ascii="Times New Roman" w:cs="Times New Roman" w:eastAsia="Times New Roman" w:hAnsi="Times New Roman"/>
          <w:sz w:val="18"/>
          <w:szCs w:val="18"/>
          <w:color w:val="auto"/>
        </w:rPr>
        <w:t xml:space="preserve"> to earnings, cash from operations, free cash flow, and return of capital per share to shareholders and </w:t>
      </w:r>
      <w:r>
        <w:rPr>
          <w:rFonts w:ascii="Times New Roman" w:cs="Times New Roman" w:eastAsia="Times New Roman" w:hAnsi="Times New Roman"/>
          <w:sz w:val="18"/>
          <w:szCs w:val="18"/>
          <w:b w:val="1"/>
          <w:bCs w:val="1"/>
          <w:color w:val="auto"/>
        </w:rPr>
        <w:t>lowers total company FCF breakeven</w:t>
      </w:r>
      <w:r>
        <w:rPr>
          <w:rFonts w:ascii="Times New Roman" w:cs="Times New Roman" w:eastAsia="Times New Roman" w:hAnsi="Times New Roman"/>
          <w:sz w:val="18"/>
          <w:szCs w:val="18"/>
          <w:color w:val="auto"/>
        </w:rPr>
        <w:t>.</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Makes the assets better</w:t>
      </w:r>
      <w:r>
        <w:rPr>
          <w:rFonts w:ascii="Times New Roman" w:cs="Times New Roman" w:eastAsia="Times New Roman" w:hAnsi="Times New Roman"/>
          <w:sz w:val="18"/>
          <w:szCs w:val="18"/>
          <w:color w:val="auto"/>
        </w:rPr>
        <w:t xml:space="preserve">: Significant </w:t>
      </w:r>
      <w:r>
        <w:rPr>
          <w:rFonts w:ascii="Times New Roman" w:cs="Times New Roman" w:eastAsia="Times New Roman" w:hAnsi="Times New Roman"/>
          <w:sz w:val="18"/>
          <w:szCs w:val="18"/>
          <w:b w:val="1"/>
          <w:bCs w:val="1"/>
          <w:color w:val="auto"/>
        </w:rPr>
        <w:t>value upside from synergies, differential technology, and increased scale</w:t>
      </w:r>
      <w:r>
        <w:rPr>
          <w:rFonts w:ascii="Times New Roman" w:cs="Times New Roman" w:eastAsia="Times New Roman" w:hAnsi="Times New Roman"/>
          <w:sz w:val="18"/>
          <w:szCs w:val="18"/>
          <w:color w:val="auto"/>
        </w:rPr>
        <w:t>.</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Synergy Details</w:t>
      </w:r>
    </w:p>
    <w:p>
      <w:pPr>
        <w:spacing w:after="0" w:line="225" w:lineRule="exact"/>
        <w:rPr>
          <w:sz w:val="24"/>
          <w:szCs w:val="24"/>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Initial annual synergy target of at least $500 million</w:t>
      </w:r>
      <w:r>
        <w:rPr>
          <w:rFonts w:ascii="Times New Roman" w:cs="Times New Roman" w:eastAsia="Times New Roman" w:hAnsi="Times New Roman"/>
          <w:sz w:val="18"/>
          <w:szCs w:val="18"/>
          <w:color w:val="auto"/>
        </w:rPr>
        <w:t>:</w:t>
      </w:r>
    </w:p>
    <w:p>
      <w:pPr>
        <w:spacing w:after="0" w:line="31" w:lineRule="exact"/>
        <w:rPr>
          <w:sz w:val="24"/>
          <w:szCs w:val="24"/>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$250 million G&amp;A costs </w:t>
      </w:r>
      <w:r>
        <w:rPr>
          <w:rFonts w:ascii="Times New Roman" w:cs="Times New Roman" w:eastAsia="Times New Roman" w:hAnsi="Times New Roman"/>
          <w:sz w:val="18"/>
          <w:szCs w:val="18"/>
          <w:color w:val="auto"/>
        </w:rPr>
        <w:t>optimizing overlapping costs across combined organization.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$150 million operating costs </w:t>
      </w:r>
      <w:r>
        <w:rPr>
          <w:rFonts w:ascii="Times New Roman" w:cs="Times New Roman" w:eastAsia="Times New Roman" w:hAnsi="Times New Roman"/>
          <w:sz w:val="18"/>
          <w:szCs w:val="18"/>
          <w:color w:val="auto"/>
        </w:rPr>
        <w:t>consolidating field operations and applying commercial acumen.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$100 million capital costs </w:t>
      </w:r>
      <w:r>
        <w:rPr>
          <w:rFonts w:ascii="Times New Roman" w:cs="Times New Roman" w:eastAsia="Times New Roman" w:hAnsi="Times New Roman"/>
          <w:sz w:val="18"/>
          <w:szCs w:val="18"/>
          <w:color w:val="auto"/>
        </w:rPr>
        <w:t>leveraging enhanced cross-basin footprint to drive further D&amp;C capital cost reductions.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Distribution Update</w:t>
      </w:r>
    </w:p>
    <w:p>
      <w:pPr>
        <w:spacing w:after="0" w:line="225" w:lineRule="exact"/>
        <w:rPr>
          <w:sz w:val="20"/>
          <w:szCs w:val="20"/>
          <w:color w:val="auto"/>
        </w:rPr>
      </w:pPr>
    </w:p>
    <w:p>
      <w:pPr>
        <w:ind w:left="660" w:right="240" w:hanging="328"/>
        <w:spacing w:after="0" w:line="263"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Independent of the transaction, expect to </w:t>
      </w:r>
      <w:r>
        <w:rPr>
          <w:rFonts w:ascii="Times New Roman" w:cs="Times New Roman" w:eastAsia="Times New Roman" w:hAnsi="Times New Roman"/>
          <w:sz w:val="18"/>
          <w:szCs w:val="18"/>
          <w:b w:val="1"/>
          <w:bCs w:val="1"/>
          <w:color w:val="auto"/>
        </w:rPr>
        <w:t>increase ordinary base dividend by 34%</w:t>
      </w:r>
      <w:r>
        <w:rPr>
          <w:rFonts w:ascii="Times New Roman" w:cs="Times New Roman" w:eastAsia="Times New Roman" w:hAnsi="Times New Roman"/>
          <w:sz w:val="18"/>
          <w:szCs w:val="18"/>
          <w:color w:val="auto"/>
        </w:rPr>
        <w:t xml:space="preserve"> to 78 cents per share starting in the fourth quarter of 2024, continuing to target </w:t>
      </w:r>
      <w:r>
        <w:rPr>
          <w:rFonts w:ascii="Times New Roman" w:cs="Times New Roman" w:eastAsia="Times New Roman" w:hAnsi="Times New Roman"/>
          <w:sz w:val="18"/>
          <w:szCs w:val="18"/>
          <w:b w:val="1"/>
          <w:bCs w:val="1"/>
          <w:color w:val="auto"/>
        </w:rPr>
        <w:t>top-quartile dividend growth relative to the S&amp;P 500</w:t>
      </w:r>
      <w:r>
        <w:rPr>
          <w:rFonts w:ascii="Times New Roman" w:cs="Times New Roman" w:eastAsia="Times New Roman" w:hAnsi="Times New Roman"/>
          <w:sz w:val="18"/>
          <w:szCs w:val="18"/>
          <w:color w:val="auto"/>
        </w:rPr>
        <w:t>.</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transaction and assuming recent commodity prices, plan to:</w:t>
      </w:r>
    </w:p>
    <w:p>
      <w:pPr>
        <w:spacing w:after="0" w:line="9"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Increase the annual run rate of buybacks to over $7 billion</w:t>
      </w:r>
      <w:r>
        <w:rPr>
          <w:rFonts w:ascii="Times New Roman" w:cs="Times New Roman" w:eastAsia="Times New Roman" w:hAnsi="Times New Roman"/>
          <w:sz w:val="18"/>
          <w:szCs w:val="18"/>
          <w:color w:val="auto"/>
        </w:rPr>
        <w:t>, up from over $5 billion on a standalone basis today.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Repurchase over $20 billion of shares </w:t>
      </w:r>
      <w:r>
        <w:rPr>
          <w:rFonts w:ascii="Times New Roman" w:cs="Times New Roman" w:eastAsia="Times New Roman" w:hAnsi="Times New Roman"/>
          <w:sz w:val="18"/>
          <w:szCs w:val="18"/>
          <w:color w:val="auto"/>
        </w:rPr>
        <w:t>in first three years,</w:t>
      </w:r>
      <w:r>
        <w:rPr>
          <w:rFonts w:ascii="Times New Roman" w:cs="Times New Roman" w:eastAsia="Times New Roman" w:hAnsi="Times New Roman"/>
          <w:sz w:val="18"/>
          <w:szCs w:val="18"/>
          <w:b w:val="1"/>
          <w:bCs w:val="1"/>
          <w:color w:val="auto"/>
        </w:rPr>
        <w:t xml:space="preserve"> retiring equivalent of transaction-issued shares in 2-3 years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includes “forward-looking statements” as defined under the federal securities laws. All statements other than statements of historical fact included or incorporated by reference in this communication, including, among other things, statements regarding the proposed business combination transaction between ConocoPhillips (“ConocoPhillips”) and Marathon Oil Corporation (“Marathon”), future events, plans and anticipated results of operations, business strategies, the anticipated benefits of the proposed transaction, the anticipated impact of the proposed transaction on the combined company’s business and future financial and operating results, the expected amount and timing of synergies from the proposed transaction, the anticipated closing date for the proposed transaction and other aspects of ConocoPhillips’ or Marathon’s operations or operating results are forward-looking statements. Words and phrases such as “ambition,” “anticipate,” “estimate,” “believe,” “budget,” “continue,” “could,” “intend,” “may,” “plan,” “potential,” “predict,” “seek,” “should,” “will,” “would,” “expect,” “objective,” “projection,” “forecast,” “goal,” “guidance,” “outlook,” “effort,” “target” and other similar words can be used to identify forward-looking statements. However, the absence of these words does not mean that the statements are not forward-looking. Where, in any forward-looking statement, ConocoPhillips or Marathon expresses an expectation or belief as to future results, such expectation or belief is expressed in good faith and believed to be reasonable at the time such forward-looking statement is made. However, these statements are not guarantees of future performance and involve certain risks, uncertainties and other factors beyond ConocoPhillips’ or Marathon’s control. Therefore, actual outcomes and results may differ materially from what is expressed or forecast in the forward-looking statements.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spacing w:after="0" w:line="251" w:lineRule="auto"/>
        <w:rPr>
          <w:sz w:val="20"/>
          <w:szCs w:val="20"/>
          <w:color w:val="auto"/>
        </w:rPr>
      </w:pPr>
      <w:r>
        <w:rPr>
          <w:rFonts w:ascii="Times New Roman" w:cs="Times New Roman" w:eastAsia="Times New Roman" w:hAnsi="Times New Roman"/>
          <w:sz w:val="18"/>
          <w:szCs w:val="18"/>
          <w:color w:val="auto"/>
        </w:rPr>
        <w:t>The following important factors and uncertainties, among others, could cause actual results or events to differ materially from those described in forward-looking statements: ConocoPhillips’ ability to successfully integrate Marathon’s businesses and technologies, which may result in the combined company not operating as effectively and efficiently as expected; the risk that the expected benefits and synergies of the proposed transaction may not be fully achieved in a timely manner, or at all; the risk that ConocoPhillips or Marathon will be unable to retain and hire key personnel; the risk associated with Marathon’s ability to obtain the approval of its stockholders required to consummate the proposed transaction and the timing of the closing of the proposed transaction, including the risk that the conditions to the transaction are not satisfied on a timely basis or at all or the failure of the transaction to close for any other reason or to close on the anticipated terms, including the anticipated tax treatment (and with respect to increases in ConocoPhillips’ share repurchase program, such increases are not intended to exceed shares issued in the transaction); the risk that any regulatory approval, consent or authorization that may be required for the proposed transaction is not obtained or is obtained subject to conditions that are not anticipated; the occurrence of any event, change or other circumstance that could give rise to the termination of the proposed transaction; unanticipated difficulties, liabilities or expenditures relating to the transaction; the effect of the announcement, pendency or completion of the proposed transaction on the parties’ business relationships and business operations generally; the effect of the announcement or pendency of the proposed transaction on the parties’ common stock prices and uncertainty as to the long-term value of ConocoPhillips’ or Marathon’s common stock; risks that the proposed transaction disrupts current plans and operations of ConocoPhillips or Marathon and their respective management teams and potential difficulties in hiring or retaining employees as a result of the proposed transaction; rating agency actions and ConocoPhillips’ and Marathon’s ability to access short- and long-term debt markets on a timely and affordable basis; changes in commodity prices, including a prolonged decline in these prices relative to historical or future expected levels; global and regional changes in the demand, supply, prices, differentials or other market conditions affecting oil and gas, including changes resulting from any ongoing military conflict, including the conflicts in Ukraine and the Middle East, and the global response to such conflict, security threats on facilities and infrastructure, or from a public health crisis or from the imposition or lifting of crude oil production quotas or other actions that might be imposed by Organization of Petroleum Exporting Countries and other producing countries and the resulting company or third-party actions in response to such changes; insufficient liquidity or other factors that could impact ConocoPhillips’ ability to repurchase shares and declare and pay dividends such that ConocoPhillips suspends its share repurchase program and reduces, suspends or totally eliminates dividend payments in the future, whether variable or fixed; changes in expected levels of oil and gas reserves or production; potential failures or delays in achieving expected reserve or production levels from existing and future oil and gas developments, including due to operating hazards, drilling risks or unsuccessful exploratory activities; unexpected cost increases, inflationary pressures or technical difficulties in constructing, maintaining or modifying company facilities; legislative and regulatory initiatives addressing global climate change or other environmental concerns; public health crises, including pandemics (such as COVID-19) and epidemics and any impacts or related company or government policies or actions; investment in and development of competing or alternative energy sources; potential failures or delays in delivering on ConocoPhillips’ current or future low-carbon strategy, including ConocoPhillips’ inability to develop new technologies; disruptions or interruptions impacting the transportation for ConocoPhillips’ or Marathon’s oil and gas production; international monetary conditions and exchange rate fluctuations; changes in international trade relationships or governmental policies, including the imposition of price caps, or the imposition of trade restrictions or tariffs on any materials or products (such as aluminum and steel) used in the operation of ConocoPhillips’ or Marathon’s business, including any sanctions imposed as a result of any ongoing military conflict, including the conflicts in Ukraine and the Middle East; ConocoPhillips’ ability to collect payments when due, including ConocoPhillips’ ability to collect payments from the government of Venezuela or PDVSA; ConocoPhillips’ ability to complete any other announced or any other future dispositions or acquisitions on time, if at all; the possibility that regulatory approvals for any other announced or any future dispositions or any other acquisitions will not be received on a timely basis, if at all, or that such approvals may require modification to the terms of those transactions or ConocoPhillips’ remaining business; business disruptions following any announced or future dispositions or other acquisitions, including the diversion of management time and attention; the ability to deploy net proceeds from ConocoPhillips’ announced or any future dispositions in the manner and timeframe anticipated, if at all; potential liability for remedial actions under existing or future environmental regulations; potential liability resulting from pending or future litigation; the impact of competition and consolidation in the oil and gas industry; limited access to capital or insurance or significantly higher cost of capital or insurance related to illiquidity or uncertainty in the domestic or international financial markets or investor sentiment; general domestic and international economic and political conditions or developments, including as a result of any ongoing military conflict, including the conflicts in Ukraine and the Middle East; changes in fiscal regime or tax, environmental and other laws applicable to ConocoPhillips’ or Marathon’s businesses; disruptions resulting from accidents, extraordinary weather events, civil unrest, political events, war, terrorism, cybersecurity threats or information technology failures, constraints or disruptions; and other economic, business, competitive and/or regulatory factors affecting ConocoPhillips’ or Marathon’s businesses generally as set forth in their filings with the Securities and Exchange Commission (the “SEC”). The registration statement on Form S-4 and proxy statement/prospectus that will be filed with the SEC will describe additional risks in connection with the proposed transaction. While the list of factors presented here is, and the list of factors to be presented in the registration statement on Form S-4 and proxy statement/prospectus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ConocoPhillips’ and Marathon’s respective periodic reports and other filings with the SEC, including the risk factors contained in ConocoPhillips’ and Marathon’s most recent Quarterly Reports on Form 10-Q and Annual Reports on Form 10-K. Forward-looking statements represent current expectations and are inherently uncertain and are made only as of the date hereof (or, if applicable, the dates indicated in such statement). Except as required by law, neither ConocoPhillips nor Marathon undertakes or assumes any obligation to update any forward-looking statements, whether as a result of new information or to reflect subsequent events or circumstances or otherwise.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ConocoPhillips intends to file with the SEC a registration statement on Form S-4, which will include a proxy statement of Marathon that also constitutes a prospectus of ConocoPhillips common shares to be offered in the proposed transaction. Each of ConocoPhillips and Marathon may also file other relevant documents with the SEC regarding the proposed transaction. This communication is not a substitute for the proxy statement/prospectus or registration statement or any other document that ConocoPhillips or Marathon may file with the SEC. The definitive proxy statement/prospectus (if and when available) will be mailed to stockholders of Marathon.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ConocoPhillips, Marathon and the proposed transaction, once such documents are filed with the SEC through the website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the documents filed with the SEC by ConocoPhillips will be available free of charge on ConocoPhillips’ website at </w:t>
      </w:r>
      <w:r>
        <w:rPr>
          <w:rFonts w:ascii="Times New Roman" w:cs="Times New Roman" w:eastAsia="Times New Roman" w:hAnsi="Times New Roman"/>
          <w:sz w:val="18"/>
          <w:szCs w:val="18"/>
          <w:i w:val="1"/>
          <w:iCs w:val="1"/>
          <w:color w:val="auto"/>
        </w:rPr>
        <w:t>www.conocophillips.com</w:t>
      </w:r>
      <w:r>
        <w:rPr>
          <w:rFonts w:ascii="Times New Roman" w:cs="Times New Roman" w:eastAsia="Times New Roman" w:hAnsi="Times New Roman"/>
          <w:sz w:val="18"/>
          <w:szCs w:val="18"/>
          <w:color w:val="auto"/>
        </w:rPr>
        <w:t xml:space="preserve"> or by contacting ConocoPhillips’ Investor Relations Department by email at investor.relations@conocophillips.com or by phone at 281-293-5000. Copies of the documents filed with the SEC by Marathon will be available free of charge on Marathon’s website at </w:t>
      </w:r>
      <w:r>
        <w:rPr>
          <w:rFonts w:ascii="Times New Roman" w:cs="Times New Roman" w:eastAsia="Times New Roman" w:hAnsi="Times New Roman"/>
          <w:sz w:val="18"/>
          <w:szCs w:val="18"/>
          <w:i w:val="1"/>
          <w:iCs w:val="1"/>
          <w:color w:val="auto"/>
        </w:rPr>
        <w:t>www.ir.marathonoil.com</w:t>
      </w:r>
      <w:r>
        <w:rPr>
          <w:rFonts w:ascii="Times New Roman" w:cs="Times New Roman" w:eastAsia="Times New Roman" w:hAnsi="Times New Roman"/>
          <w:sz w:val="18"/>
          <w:szCs w:val="18"/>
          <w:color w:val="auto"/>
        </w:rPr>
        <w:t xml:space="preserve"> or by contacting Marathon at 713-629-6600.</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ConocoPhillips, Marathon and certain of their respective directors and executive officers may be deemed to be participants in the solicitation of proxies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the proposed transaction. Information about the directors and executive officers of ConocoPhillips is set forth in (i) ConocoPhillips’ proxy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for its 2024 annual meeting of stockholders under the headings “Executive Compensation”, “Item 1: Election of Directors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Biographies” (including “Related Party Transactions” and “Director Compensation”), “Compensation Discussion and Analysis”, “Executive Compensation</w:t>
      </w:r>
    </w:p>
    <w:p>
      <w:pPr>
        <w:spacing w:after="0" w:line="21" w:lineRule="exact"/>
        <w:rPr>
          <w:sz w:val="20"/>
          <w:szCs w:val="20"/>
          <w:color w:val="auto"/>
        </w:rPr>
      </w:pPr>
    </w:p>
    <w:p>
      <w:pPr>
        <w:spacing w:after="0"/>
        <w:rPr>
          <w:rFonts w:ascii="Times New Roman" w:cs="Times New Roman" w:eastAsia="Times New Roman" w:hAnsi="Times New Roman"/>
          <w:sz w:val="18"/>
          <w:szCs w:val="18"/>
          <w:color w:val="auto"/>
        </w:rPr>
      </w:pPr>
      <w:hyperlink r:id="rId12">
        <w:r>
          <w:rPr>
            <w:rFonts w:ascii="Times New Roman" w:cs="Times New Roman" w:eastAsia="Times New Roman" w:hAnsi="Times New Roman"/>
            <w:sz w:val="18"/>
            <w:szCs w:val="18"/>
            <w:color w:val="auto"/>
          </w:rPr>
          <w:t xml:space="preserve">Tables” and “Stock Ownership”, which was filed with the SEC on April 1, 2024 and is available at </w:t>
        </w:r>
        <w:r>
          <w:rPr>
            <w:rFonts w:ascii="Times New Roman" w:cs="Times New Roman" w:eastAsia="Times New Roman" w:hAnsi="Times New Roman"/>
            <w:sz w:val="18"/>
            <w:szCs w:val="18"/>
            <w:u w:val="single" w:color="auto"/>
            <w:color w:val="0000EE"/>
          </w:rPr>
          <w:t>https://www.sec.gov/ix?</w:t>
        </w:r>
      </w:hyperlink>
    </w:p>
    <w:p>
      <w:pPr>
        <w:spacing w:after="0" w:line="9" w:lineRule="exact"/>
        <w:rPr>
          <w:sz w:val="20"/>
          <w:szCs w:val="20"/>
          <w:color w:val="auto"/>
        </w:rPr>
      </w:pPr>
    </w:p>
    <w:p>
      <w:pPr>
        <w:spacing w:after="0"/>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u w:val="single" w:color="auto"/>
            <w:color w:val="0000EE"/>
          </w:rPr>
          <w:t>doc=/Archives/edgar/data/1163165/000130817924000384/cop4258041-def14a.htm</w:t>
        </w:r>
        <w:r>
          <w:rPr>
            <w:rFonts w:ascii="Times New Roman" w:cs="Times New Roman" w:eastAsia="Times New Roman" w:hAnsi="Times New Roman"/>
            <w:sz w:val="18"/>
            <w:szCs w:val="18"/>
            <w:color w:val="000000"/>
          </w:rPr>
          <w:t xml:space="preserve">, (ii) ConocoPhillips’ Annual Report on </w:t>
        </w:r>
      </w:hyperlink>
      <w:r>
        <w:rPr>
          <w:rFonts w:ascii="Times New Roman" w:cs="Times New Roman" w:eastAsia="Times New Roman" w:hAnsi="Times New Roman"/>
          <w:sz w:val="18"/>
          <w:szCs w:val="18"/>
          <w:color w:val="0000EE"/>
        </w:rPr>
        <w:t xml:space="preserve">Form </w:t>
      </w:r>
      <w:r>
        <w:rPr>
          <w:rFonts w:ascii="Times New Roman" w:cs="Times New Roman" w:eastAsia="Times New Roman" w:hAnsi="Times New Roman"/>
          <w:sz w:val="18"/>
          <w:szCs w:val="18"/>
          <w:color w:val="000000"/>
        </w:rPr>
        <w:t>10-K for the fiscal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2023, including under the headings “Item 10. Directors, Executive Officers and Corporate Governance”, “Item 11.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“Item 12. Security Ownership of Certain Beneficial Owners and Management and Related Stockholder Matters” and “Item 13.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Relationships and Related Transactions, and Director Independence”, which was filed with the SEC on February 15, 2024 and is available at</w:t>
      </w:r>
    </w:p>
    <w:p>
      <w:pPr>
        <w:spacing w:after="0" w:line="9" w:lineRule="exact"/>
        <w:rPr>
          <w:sz w:val="20"/>
          <w:szCs w:val="20"/>
          <w:color w:val="auto"/>
        </w:rPr>
      </w:pPr>
    </w:p>
    <w:p>
      <w:pPr>
        <w:spacing w:after="0"/>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u w:val="single" w:color="auto"/>
            <w:color w:val="0000EE"/>
          </w:rPr>
          <w:t>https://www.sec.gov/ix?doc=/Archives/edgar/data/1163165/000116316524000010/cop-20231231.htm</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(iii) to the extent holdings of ConocoPhillips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by its directors or executive officers have changed since the amounts set forth in ConocoPhillips’ proxy statement for its 2024 annual meeting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such changes have been or will be reflected on Initial Statement of Beneficial Ownership of Securities on Form 3, Statement of Changes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Ownership on Form 4 or Annual Statement of Changes in Beneficial Ownership of Securities on Form 5, filed with the SEC (which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at EDGAR Search Results https://www.sec.gov/edgar/search/#/category=form-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cat2&amp;ciks=0001163165&amp;entityName=CONOCOPHILLIPS%2520(COP)%2520(CIK%25200001163165)). Information about the directors and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of Marathon is set forth in (i) Marathon’s proxy statement for its 2024 annual meeting of stockholders under the headings “Proposal 1: Election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“Director Compensation”, “Security Ownership of Certain Beneficial Owners and Management”, “Compensation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Compensation” and “Transactions with Related Persons”, which was filed with the SEC on April 10, 2024 and is available at</w:t>
      </w:r>
    </w:p>
    <w:p>
      <w:pPr>
        <w:spacing w:after="0" w:line="9" w:lineRule="exact"/>
        <w:rPr>
          <w:sz w:val="20"/>
          <w:szCs w:val="20"/>
          <w:color w:val="auto"/>
        </w:rPr>
      </w:pPr>
    </w:p>
    <w:p>
      <w:pPr>
        <w:spacing w:after="0"/>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u w:val="single" w:color="auto"/>
            <w:color w:val="0000EE"/>
          </w:rPr>
          <w:t>https://www.sec.gov/ix?doc=/Archives/edgar/data/101778/000010177824000082/mro-20240405.htm</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(ii) Marathon’s Annual Report on Form 10-K for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 ended December 31, 2023, including under the headings “Item 10. Directors, Executive Officers and Corporate Governance”, “Item 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Compensation”, “Item 12. Security Ownership of Certain Beneficial Owners and Management and Related Stockholder Matters” and “Item 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 which was filed with the SEC on February 22, 2024 and is available at</w:t>
      </w:r>
    </w:p>
    <w:p>
      <w:pPr>
        <w:spacing w:after="0" w:line="9" w:lineRule="exact"/>
        <w:rPr>
          <w:sz w:val="20"/>
          <w:szCs w:val="20"/>
          <w:color w:val="auto"/>
        </w:rPr>
      </w:pPr>
    </w:p>
    <w:p>
      <w:pPr>
        <w:spacing w:after="0"/>
        <w:rPr>
          <w:rFonts w:ascii="Times New Roman" w:cs="Times New Roman" w:eastAsia="Times New Roman" w:hAnsi="Times New Roman"/>
          <w:sz w:val="17"/>
          <w:szCs w:val="17"/>
          <w:color w:val="0000EE"/>
        </w:rPr>
      </w:pPr>
      <w:hyperlink r:id="rId15">
        <w:r>
          <w:rPr>
            <w:rFonts w:ascii="Times New Roman" w:cs="Times New Roman" w:eastAsia="Times New Roman" w:hAnsi="Times New Roman"/>
            <w:sz w:val="17"/>
            <w:szCs w:val="17"/>
            <w:u w:val="single" w:color="auto"/>
            <w:color w:val="0000EE"/>
          </w:rPr>
          <w:t>https://www.sec.gov/ix?doc=/Archives/edgar/data/101778/000010177824000023/mro-20231231.htm</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(iii) to the extent holdings of Marathon securities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its directors or executive officers have changed since the amounts set forth in Marathon’s proxy statement for its 2024 annual meeting of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changes have been or will be reflected on Initial Statement of Beneficial Ownership of Securities on Form 3, Statement of Changes in Beneficial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on Form 4, or Annual Statement of Changes in Beneficial Ownership of Securities on Form 5, filed with the SEC (which are available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EDGAR Search Results https://www.sec.gov/edgar/search/#/category=form-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cat2&amp;ciks=0000101778&amp;entityName=MARATHON%2520OIL%2520CORP%2520(MRO)%2520(CIK%25200000101778)).</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spacing w:after="0" w:line="255" w:lineRule="auto"/>
        <w:rPr>
          <w:sz w:val="20"/>
          <w:szCs w:val="20"/>
          <w:color w:val="auto"/>
        </w:rPr>
      </w:pPr>
      <w:r>
        <w:rPr>
          <w:rFonts w:ascii="Times New Roman" w:cs="Times New Roman" w:eastAsia="Times New Roman" w:hAnsi="Times New Roman"/>
          <w:sz w:val="18"/>
          <w:szCs w:val="18"/>
          <w:color w:val="auto"/>
        </w:rPr>
        <w:t xml:space="preserve">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Copies of the documents filed with the SEC by ConocoPhillips and Marathon will be available free of charge through the website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Additionally, copies of documents filed with the SEC by ConocoPhillips will be available free of charge on ConocoPhillips’ website at </w:t>
      </w:r>
      <w:r>
        <w:rPr>
          <w:rFonts w:ascii="Times New Roman" w:cs="Times New Roman" w:eastAsia="Times New Roman" w:hAnsi="Times New Roman"/>
          <w:sz w:val="18"/>
          <w:szCs w:val="18"/>
          <w:i w:val="1"/>
          <w:iCs w:val="1"/>
          <w:color w:val="auto"/>
        </w:rPr>
        <w:t>www.conocophillips.com/</w:t>
      </w:r>
      <w:r>
        <w:rPr>
          <w:rFonts w:ascii="Times New Roman" w:cs="Times New Roman" w:eastAsia="Times New Roman" w:hAnsi="Times New Roman"/>
          <w:sz w:val="18"/>
          <w:szCs w:val="18"/>
          <w:color w:val="auto"/>
        </w:rPr>
        <w:t xml:space="preserve"> and those filed by Marathon will be available free of charge on Marathon’s website at </w:t>
      </w:r>
      <w:r>
        <w:rPr>
          <w:rFonts w:ascii="Times New Roman" w:cs="Times New Roman" w:eastAsia="Times New Roman" w:hAnsi="Times New Roman"/>
          <w:sz w:val="18"/>
          <w:szCs w:val="18"/>
          <w:i w:val="1"/>
          <w:iCs w:val="1"/>
          <w:color w:val="auto"/>
        </w:rPr>
        <w:t>www.ir.marathonoil.com/.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 Link(s):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News Release FINAL (002).pdf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TransactionAnnouncement.pdf</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o"/>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s://www.sec.gov/ix?doc=/Archives/edgar/data/1163165/000130817924000384/cop4258041-def14a.htm" TargetMode="External"/><Relationship Id="rId13" Type="http://schemas.openxmlformats.org/officeDocument/2006/relationships/hyperlink" Target="https://www.sec.gov/ix?doc=/Archives/edgar/data/1163165/000116316524000010/cop-20231231.htm" TargetMode="External"/><Relationship Id="rId14" Type="http://schemas.openxmlformats.org/officeDocument/2006/relationships/hyperlink" Target="https://www.sec.gov/ix?doc=/Archives/edgar/data/101778/000010177824000082/mro-20240405.htm" TargetMode="External"/><Relationship Id="rId15" Type="http://schemas.openxmlformats.org/officeDocument/2006/relationships/hyperlink" Target="https://www.sec.gov/ix?doc=/Archives/edgar/data/101778/000010177824000023/mro-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2024-05-29T16:47:02Z</dcterms:created>
  <dcterms:modified xsi:type="dcterms:W3CDTF">2024-05-29T16:47:02Z</dcterms:modified>
</cp:coreProperties>
</file>