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1023620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989330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20"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1882775</wp:posOffset>
            </wp:positionH>
            <wp:positionV relativeFrom="paragraph">
              <wp:posOffset>197485</wp:posOffset>
            </wp:positionV>
            <wp:extent cx="1885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1882775</wp:posOffset>
            </wp:positionH>
            <wp:positionV relativeFrom="paragraph">
              <wp:posOffset>60960</wp:posOffset>
            </wp:positionV>
            <wp:extent cx="18859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06" w:lineRule="exact"/>
        <w:rPr>
          <w:sz w:val="24"/>
          <w:szCs w:val="24"/>
          <w:color w:val="auto"/>
        </w:rPr>
      </w:pPr>
    </w:p>
    <w:p>
      <w:pPr>
        <w:ind w:left="2520" w:right="1459" w:hanging="1081"/>
        <w:spacing w:after="0" w:line="238" w:lineRule="auto"/>
        <w:tabs>
          <w:tab w:leader="none" w:pos="167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For the fiscal year ended </w:t>
      </w:r>
      <w:r>
        <w:rPr>
          <w:rFonts w:ascii="Times New Roman" w:cs="Times New Roman" w:eastAsia="Times New Roman" w:hAnsi="Times New Roman"/>
          <w:sz w:val="22"/>
          <w:szCs w:val="22"/>
          <w:b w:val="1"/>
          <w:bCs w:val="1"/>
          <w:u w:val="single" w:color="auto"/>
          <w:color w:val="auto"/>
        </w:rPr>
        <w:t>December 31, 2025</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06" w:lineRule="exact"/>
        <w:rPr>
          <w:sz w:val="24"/>
          <w:szCs w:val="24"/>
          <w:color w:val="auto"/>
        </w:rPr>
      </w:pPr>
    </w:p>
    <w:p>
      <w:pPr>
        <w:ind w:left="2520" w:right="1219" w:hanging="1303"/>
        <w:spacing w:after="0" w:line="238" w:lineRule="auto"/>
        <w:tabs>
          <w:tab w:leader="none" w:pos="1456"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 the transition period from to</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001-32395</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CONOCOPHILLIPS SAVINGS PLAN</w:t>
      </w: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 Box 4783</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Houston, Texas 77210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plan administrator)</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ConocoPhillips</w:t>
      </w:r>
    </w:p>
    <w:p>
      <w:pPr>
        <w:jc w:val="center"/>
        <w:spacing w:after="0"/>
        <w:rPr>
          <w:sz w:val="20"/>
          <w:szCs w:val="20"/>
          <w:color w:val="auto"/>
        </w:rPr>
      </w:pPr>
      <w:r>
        <w:rPr>
          <w:rFonts w:ascii="Times New Roman" w:cs="Times New Roman" w:eastAsia="Times New Roman" w:hAnsi="Times New Roman"/>
          <w:sz w:val="18"/>
          <w:szCs w:val="18"/>
          <w:color w:val="auto"/>
        </w:rPr>
        <w:t>(Name of issuer of securities)</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925 N. Eldridge Parkway</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Houston, Texas 77079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1757680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655955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621665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STATEMENTS AND EXHIBITS</w:t>
      </w:r>
    </w:p>
    <w:p>
      <w:pPr>
        <w:spacing w:after="0" w:line="210"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 statements of the ConocoPhillips Savings Plan, filed as part of this annual report, are listed in the accompanying index.</w:t>
      </w:r>
    </w:p>
    <w:p>
      <w:pPr>
        <w:spacing w:after="0" w:line="21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23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ConocoPhillips Company Benefits Committee has duly caused this annual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22"/>
          <w:szCs w:val="22"/>
          <w:b w:val="1"/>
          <w:bCs w:val="1"/>
          <w:color w:val="auto"/>
        </w:rPr>
        <w:t>CONOCOPHILLIPS COMPANY</w:t>
      </w:r>
    </w:p>
    <w:p>
      <w:pPr>
        <w:spacing w:after="0" w:line="3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22"/>
          <w:szCs w:val="22"/>
          <w:b w:val="1"/>
          <w:bCs w:val="1"/>
          <w:color w:val="auto"/>
        </w:rPr>
        <w:t>BENEFITS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i w:val="1"/>
          <w:iCs w:val="1"/>
          <w:color w:val="auto"/>
        </w:rPr>
        <w:t xml:space="preserve">/s/ </w:t>
      </w:r>
      <w:r>
        <w:rPr>
          <w:rFonts w:ascii="Times New Roman" w:cs="Times New Roman" w:eastAsia="Times New Roman" w:hAnsi="Times New Roman"/>
          <w:sz w:val="22"/>
          <w:szCs w:val="22"/>
          <w:color w:val="auto"/>
        </w:rPr>
        <w:t>Frank Alexander</w:t>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i w:val="1"/>
          <w:iCs w:val="1"/>
          <w:color w:val="auto"/>
        </w:rPr>
        <w:t>Frank Alexander, Manager, US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-158750</wp:posOffset>
            </wp:positionV>
            <wp:extent cx="3703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22"/>
          <w:szCs w:val="22"/>
          <w:color w:val="auto"/>
        </w:rPr>
        <w:t>Authorized Representative of the ConocoPhillips Company</w:t>
      </w:r>
    </w:p>
    <w:p>
      <w:pPr>
        <w:ind w:left="7460"/>
        <w:spacing w:after="0"/>
        <w:rPr>
          <w:sz w:val="20"/>
          <w:szCs w:val="20"/>
          <w:color w:val="auto"/>
        </w:rPr>
      </w:pPr>
      <w:r>
        <w:rPr>
          <w:rFonts w:ascii="Times New Roman" w:cs="Times New Roman" w:eastAsia="Times New Roman" w:hAnsi="Times New Roman"/>
          <w:sz w:val="22"/>
          <w:szCs w:val="22"/>
          <w:color w:val="auto"/>
        </w:rPr>
        <w:t>Benefits Committee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tc>
        <w:tc>
          <w:tcPr>
            <w:tcW w:w="38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22"/>
                <w:szCs w:val="22"/>
                <w:b w:val="1"/>
                <w:bCs w:val="1"/>
                <w:color w:val="auto"/>
                <w:w w:val="97"/>
              </w:rPr>
              <w:t>ConocoPhillips Savings Plan</w:t>
            </w:r>
          </w:p>
        </w:tc>
        <w:tc>
          <w:tcPr>
            <w:tcW w:w="40" w:type="dxa"/>
            <w:vAlign w:val="bottom"/>
          </w:tcPr>
          <w:p>
            <w:pPr>
              <w:spacing w:after="0"/>
              <w:rPr>
                <w:sz w:val="23"/>
                <w:szCs w:val="23"/>
                <w:color w:val="auto"/>
              </w:rPr>
            </w:pPr>
          </w:p>
        </w:tc>
      </w:tr>
      <w:tr>
        <w:trPr>
          <w:trHeight w:val="286"/>
        </w:trPr>
        <w:tc>
          <w:tcPr>
            <w:tcW w:w="73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And Schedule</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4"/>
        </w:trPr>
        <w:tc>
          <w:tcPr>
            <w:tcW w:w="7380" w:type="dxa"/>
            <w:vAlign w:val="bottom"/>
          </w:tcPr>
          <w:p>
            <w:pPr>
              <w:spacing w:after="0"/>
              <w:rPr>
                <w:sz w:val="24"/>
                <w:szCs w:val="24"/>
                <w:color w:val="auto"/>
              </w:rPr>
            </w:pPr>
          </w:p>
        </w:tc>
        <w:tc>
          <w:tcPr>
            <w:tcW w:w="3860" w:type="dxa"/>
            <w:vAlign w:val="bottom"/>
            <w:gridSpan w:val="2"/>
          </w:tcPr>
          <w:p>
            <w:pPr>
              <w:ind w:left="3220"/>
              <w:spacing w:after="0"/>
              <w:rPr>
                <w:sz w:val="20"/>
                <w:szCs w:val="20"/>
                <w:color w:val="auto"/>
              </w:rPr>
            </w:pPr>
            <w:r>
              <w:rPr>
                <w:rFonts w:ascii="Times New Roman" w:cs="Times New Roman" w:eastAsia="Times New Roman" w:hAnsi="Times New Roman"/>
                <w:sz w:val="22"/>
                <w:szCs w:val="22"/>
                <w:color w:val="auto"/>
              </w:rPr>
              <w:t>Page</w:t>
            </w:r>
          </w:p>
        </w:tc>
      </w:tr>
      <w:tr>
        <w:trPr>
          <w:trHeight w:val="540"/>
        </w:trPr>
        <w:tc>
          <w:tcPr>
            <w:tcW w:w="7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Report of Independent Registered Public Accounting Firm</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0"/>
              </w:rPr>
              <w:t>3</w:t>
            </w:r>
          </w:p>
        </w:tc>
        <w:tc>
          <w:tcPr>
            <w:tcW w:w="40" w:type="dxa"/>
            <w:vAlign w:val="bottom"/>
          </w:tcPr>
          <w:p>
            <w:pPr>
              <w:spacing w:after="0"/>
              <w:rPr>
                <w:sz w:val="24"/>
                <w:szCs w:val="24"/>
                <w:color w:val="auto"/>
              </w:rPr>
            </w:pPr>
          </w:p>
        </w:tc>
      </w:tr>
      <w:tr>
        <w:trPr>
          <w:trHeight w:val="810"/>
        </w:trPr>
        <w:tc>
          <w:tcPr>
            <w:tcW w:w="73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Financial Statements</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8"/>
        </w:trPr>
        <w:tc>
          <w:tcPr>
            <w:tcW w:w="7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Statements of Net Assets Available for Benefits at</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73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December 31, 2025 and 2024</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0"/>
              </w:rPr>
              <w:t>4</w:t>
            </w:r>
          </w:p>
        </w:tc>
        <w:tc>
          <w:tcPr>
            <w:tcW w:w="40" w:type="dxa"/>
            <w:vAlign w:val="bottom"/>
          </w:tcPr>
          <w:p>
            <w:pPr>
              <w:spacing w:after="0"/>
              <w:rPr>
                <w:sz w:val="24"/>
                <w:szCs w:val="24"/>
                <w:color w:val="auto"/>
              </w:rPr>
            </w:pPr>
          </w:p>
        </w:tc>
      </w:tr>
      <w:tr>
        <w:trPr>
          <w:trHeight w:val="528"/>
        </w:trPr>
        <w:tc>
          <w:tcPr>
            <w:tcW w:w="7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Statement of Changes in Net Assets Available for Benefits for the</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73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Year Ended December 31, 2025</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0"/>
              </w:rPr>
              <w:t>5</w:t>
            </w:r>
          </w:p>
        </w:tc>
        <w:tc>
          <w:tcPr>
            <w:tcW w:w="40" w:type="dxa"/>
            <w:vAlign w:val="bottom"/>
          </w:tcPr>
          <w:p>
            <w:pPr>
              <w:spacing w:after="0"/>
              <w:rPr>
                <w:sz w:val="24"/>
                <w:szCs w:val="24"/>
                <w:color w:val="auto"/>
              </w:rPr>
            </w:pPr>
          </w:p>
        </w:tc>
      </w:tr>
      <w:tr>
        <w:trPr>
          <w:trHeight w:val="540"/>
        </w:trPr>
        <w:tc>
          <w:tcPr>
            <w:tcW w:w="7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Notes to Financial Statements</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0"/>
              </w:rPr>
              <w:t>6</w:t>
            </w:r>
          </w:p>
        </w:tc>
        <w:tc>
          <w:tcPr>
            <w:tcW w:w="40" w:type="dxa"/>
            <w:vAlign w:val="bottom"/>
          </w:tcPr>
          <w:p>
            <w:pPr>
              <w:spacing w:after="0"/>
              <w:rPr>
                <w:sz w:val="24"/>
                <w:szCs w:val="24"/>
                <w:color w:val="auto"/>
              </w:rPr>
            </w:pPr>
          </w:p>
        </w:tc>
      </w:tr>
      <w:tr>
        <w:trPr>
          <w:trHeight w:val="810"/>
        </w:trPr>
        <w:tc>
          <w:tcPr>
            <w:tcW w:w="73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Supplemental Schedule</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8"/>
        </w:trPr>
        <w:tc>
          <w:tcPr>
            <w:tcW w:w="7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Schedule H, Line 4i — Schedule of Assets (Held at End of Year) as of</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73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December 31, 2025</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9"/>
              </w:rPr>
              <w:t>13</w:t>
            </w:r>
          </w:p>
        </w:tc>
        <w:tc>
          <w:tcPr>
            <w:tcW w:w="40" w:type="dxa"/>
            <w:vAlign w:val="bottom"/>
          </w:tcPr>
          <w:p>
            <w:pPr>
              <w:spacing w:after="0"/>
              <w:rPr>
                <w:sz w:val="24"/>
                <w:szCs w:val="24"/>
                <w:color w:val="auto"/>
              </w:rPr>
            </w:pPr>
          </w:p>
        </w:tc>
      </w:tr>
      <w:tr>
        <w:trPr>
          <w:trHeight w:val="810"/>
        </w:trPr>
        <w:tc>
          <w:tcPr>
            <w:tcW w:w="7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Index</w:t>
            </w:r>
          </w:p>
        </w:tc>
        <w:tc>
          <w:tcPr>
            <w:tcW w:w="3820" w:type="dxa"/>
            <w:vAlign w:val="bottom"/>
          </w:tcPr>
          <w:p>
            <w:pPr>
              <w:jc w:val="center"/>
              <w:ind w:left="2932"/>
              <w:spacing w:after="0"/>
              <w:rPr>
                <w:sz w:val="20"/>
                <w:szCs w:val="20"/>
                <w:color w:val="auto"/>
              </w:rPr>
            </w:pPr>
            <w:r>
              <w:rPr>
                <w:rFonts w:ascii="Times New Roman" w:cs="Times New Roman" w:eastAsia="Times New Roman" w:hAnsi="Times New Roman"/>
                <w:sz w:val="22"/>
                <w:szCs w:val="22"/>
                <w:color w:val="auto"/>
                <w:w w:val="99"/>
              </w:rPr>
              <w:t>17</w:t>
            </w:r>
          </w:p>
        </w:tc>
        <w:tc>
          <w:tcPr>
            <w:tcW w:w="40" w:type="dxa"/>
            <w:vAlign w:val="bottom"/>
          </w:tcPr>
          <w:p>
            <w:pPr>
              <w:spacing w:after="0"/>
              <w:rPr>
                <w:sz w:val="24"/>
                <w:szCs w:val="24"/>
                <w:color w:val="auto"/>
              </w:rPr>
            </w:pPr>
          </w:p>
        </w:tc>
      </w:tr>
      <w:tr>
        <w:trPr>
          <w:trHeight w:val="542"/>
        </w:trPr>
        <w:tc>
          <w:tcPr>
            <w:tcW w:w="73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188"/>
        </w:trPr>
        <w:tc>
          <w:tcPr>
            <w:tcW w:w="73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Participants and the Plan Administrator of ConocoPhillips Savings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ConocoPhillips Savings Plan (the Plan) as of</w:t>
      </w:r>
    </w:p>
    <w:p>
      <w:pPr>
        <w:ind w:right="60"/>
        <w:spacing w:after="0" w:line="215" w:lineRule="auto"/>
        <w:rPr>
          <w:sz w:val="20"/>
          <w:szCs w:val="20"/>
          <w:color w:val="auto"/>
        </w:rPr>
      </w:pPr>
      <w:r>
        <w:rPr>
          <w:rFonts w:ascii="Times New Roman" w:cs="Times New Roman" w:eastAsia="Times New Roman" w:hAnsi="Times New Roman"/>
          <w:sz w:val="19"/>
          <w:szCs w:val="19"/>
          <w:color w:val="auto"/>
        </w:rPr>
        <w:t>December 31, 2025 and 2024, and the related statement of changes in net assets available for benefits for the year ended December 31, 2025, and the related notes (collectively referred to as the “financial statements”). In our opinion, the financial statements present fairly, in all</w:t>
      </w:r>
    </w:p>
    <w:p>
      <w:pPr>
        <w:ind w:right="180"/>
        <w:spacing w:after="0" w:line="228" w:lineRule="auto"/>
        <w:rPr>
          <w:sz w:val="20"/>
          <w:szCs w:val="20"/>
          <w:color w:val="auto"/>
        </w:rPr>
      </w:pPr>
      <w:r>
        <w:rPr>
          <w:rFonts w:ascii="Times New Roman" w:cs="Times New Roman" w:eastAsia="Times New Roman" w:hAnsi="Times New Roman"/>
          <w:sz w:val="20"/>
          <w:szCs w:val="20"/>
          <w:color w:val="auto"/>
        </w:rPr>
        <w:t>material respects, the net assets available for benefits of the Plan at December 31, 2025 and 2024, and the changes in its net assets available for benefits for the year ended December 31, 2025,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These financial statements are the responsibility of the Plan’s management. Our responsibility is to express an opinion on the Plan’s financial</w:t>
      </w:r>
    </w:p>
    <w:p>
      <w:pPr>
        <w:spacing w:after="0" w:line="6"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statements based on our audits. We are a public accounting firm registered with the Public Company Accounting Oversight Board (United States) (PCAOB) and are required to be independent with respect to the Plan in accordance with the U.S. federal securities laws and the</w:t>
      </w:r>
    </w:p>
    <w:p>
      <w:pPr>
        <w:spacing w:after="0"/>
        <w:rPr>
          <w:sz w:val="20"/>
          <w:szCs w:val="20"/>
          <w:color w:val="auto"/>
        </w:rPr>
      </w:pPr>
      <w:r>
        <w:rPr>
          <w:rFonts w:ascii="Times New Roman" w:cs="Times New Roman" w:eastAsia="Times New Roman" w:hAnsi="Times New Roman"/>
          <w:sz w:val="20"/>
          <w:szCs w:val="20"/>
          <w:color w:val="auto"/>
        </w:rPr>
        <w:t>applicable rules and regulations of the Securities and Exchange Commission and the PCAOB.</w:t>
      </w:r>
    </w:p>
    <w:p>
      <w:pPr>
        <w:spacing w:after="0" w:line="16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w:t>
      </w:r>
    </w:p>
    <w:p>
      <w:pPr>
        <w:spacing w:after="0" w:line="211" w:lineRule="auto"/>
        <w:rPr>
          <w:sz w:val="20"/>
          <w:szCs w:val="20"/>
          <w:color w:val="auto"/>
        </w:rPr>
      </w:pPr>
      <w:r>
        <w:rPr>
          <w:rFonts w:ascii="Times New Roman" w:cs="Times New Roman" w:eastAsia="Times New Roman" w:hAnsi="Times New Roman"/>
          <w:sz w:val="20"/>
          <w:szCs w:val="20"/>
          <w:color w:val="auto"/>
        </w:rPr>
        <w:t>is not required to have, nor were we engaged to perform, an audit of its internal control over financial reporting. As part of our audits we are</w:t>
      </w:r>
    </w:p>
    <w:p>
      <w:pPr>
        <w:spacing w:after="0" w:line="1" w:lineRule="exact"/>
        <w:rPr>
          <w:sz w:val="20"/>
          <w:szCs w:val="20"/>
          <w:color w:val="auto"/>
        </w:rPr>
      </w:pPr>
    </w:p>
    <w:p>
      <w:pPr>
        <w:ind w:right="640"/>
        <w:spacing w:after="0" w:line="221" w:lineRule="auto"/>
        <w:rPr>
          <w:sz w:val="20"/>
          <w:szCs w:val="20"/>
          <w:color w:val="auto"/>
        </w:rPr>
      </w:pPr>
      <w:r>
        <w:rPr>
          <w:rFonts w:ascii="Times New Roman" w:cs="Times New Roman" w:eastAsia="Times New Roman" w:hAnsi="Times New Roman"/>
          <w:sz w:val="20"/>
          <w:szCs w:val="20"/>
          <w:color w:val="auto"/>
        </w:rPr>
        <w:t>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2"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11" w:lineRule="auto"/>
        <w:rPr>
          <w:sz w:val="20"/>
          <w:szCs w:val="20"/>
          <w:color w:val="auto"/>
        </w:rPr>
      </w:pPr>
      <w:r>
        <w:rPr>
          <w:rFonts w:ascii="Times New Roman" w:cs="Times New Roman" w:eastAsia="Times New Roman" w:hAnsi="Times New Roman"/>
          <w:sz w:val="20"/>
          <w:szCs w:val="20"/>
          <w:color w:val="auto"/>
        </w:rPr>
        <w:t>amounts and disclosures in the financial statements. Our audits also included evaluating the accounting principles used and significant</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Schedule Required by ERISA</w:t>
      </w:r>
    </w:p>
    <w:p>
      <w:pPr>
        <w:spacing w:after="0" w:line="193" w:lineRule="exact"/>
        <w:rPr>
          <w:sz w:val="20"/>
          <w:szCs w:val="20"/>
          <w:color w:val="auto"/>
        </w:rPr>
      </w:pPr>
    </w:p>
    <w:p>
      <w:pPr>
        <w:ind w:right="820"/>
        <w:spacing w:after="0" w:line="227" w:lineRule="auto"/>
        <w:rPr>
          <w:sz w:val="20"/>
          <w:szCs w:val="20"/>
          <w:color w:val="auto"/>
        </w:rPr>
      </w:pPr>
      <w:r>
        <w:rPr>
          <w:rFonts w:ascii="Times New Roman" w:cs="Times New Roman" w:eastAsia="Times New Roman" w:hAnsi="Times New Roman"/>
          <w:sz w:val="19"/>
          <w:szCs w:val="19"/>
          <w:color w:val="auto"/>
        </w:rPr>
        <w:t>The accompanying supplemental schedule of assets (held at end of year) as of December 31, 2025 (referred to as the “supplemental schedule”), has been subjected to audit procedures performed in conjunction with the audit of the Plan’s financial statements. The</w:t>
      </w:r>
    </w:p>
    <w:p>
      <w:pPr>
        <w:spacing w:after="0" w:line="222" w:lineRule="auto"/>
        <w:rPr>
          <w:sz w:val="20"/>
          <w:szCs w:val="20"/>
          <w:color w:val="auto"/>
        </w:rPr>
      </w:pPr>
      <w:r>
        <w:rPr>
          <w:rFonts w:ascii="Times New Roman" w:cs="Times New Roman" w:eastAsia="Times New Roman" w:hAnsi="Times New Roman"/>
          <w:sz w:val="19"/>
          <w:szCs w:val="19"/>
          <w:color w:val="auto"/>
        </w:rPr>
        <w:t>information in the supplemental schedule is the responsibility of the Plan’s management. Our audit procedures included determining whether</w:t>
      </w:r>
    </w:p>
    <w:p>
      <w:pPr>
        <w:spacing w:after="0" w:line="1"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the information reconciles to the financial statements or the underlying accounting and other records, as applicable, and performing procedures to test the completeness and accuracy of the information presented in the supplemental schedule. In forming our opinion on the</w:t>
      </w:r>
    </w:p>
    <w:p>
      <w:pPr>
        <w:spacing w:after="0" w:line="211" w:lineRule="auto"/>
        <w:rPr>
          <w:sz w:val="20"/>
          <w:szCs w:val="20"/>
          <w:color w:val="auto"/>
        </w:rPr>
      </w:pPr>
      <w:r>
        <w:rPr>
          <w:rFonts w:ascii="Times New Roman" w:cs="Times New Roman" w:eastAsia="Times New Roman" w:hAnsi="Times New Roman"/>
          <w:sz w:val="20"/>
          <w:szCs w:val="20"/>
          <w:color w:val="auto"/>
        </w:rPr>
        <w:t>information, we evaluated whether such information, including its form and content, is presented in conformity with the Department of</w:t>
      </w:r>
    </w:p>
    <w:p>
      <w:pPr>
        <w:ind w:right="240"/>
        <w:spacing w:after="0" w:line="221" w:lineRule="auto"/>
        <w:rPr>
          <w:sz w:val="20"/>
          <w:szCs w:val="20"/>
          <w:color w:val="auto"/>
        </w:rPr>
      </w:pPr>
      <w:r>
        <w:rPr>
          <w:rFonts w:ascii="Times New Roman" w:cs="Times New Roman" w:eastAsia="Times New Roman" w:hAnsi="Times New Roman"/>
          <w:sz w:val="20"/>
          <w:szCs w:val="20"/>
          <w:color w:val="auto"/>
        </w:rPr>
        <w:t>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1988.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rPr>
          <w:sz w:val="20"/>
          <w:szCs w:val="20"/>
          <w:color w:val="auto"/>
        </w:rPr>
      </w:pPr>
      <w:r>
        <w:rPr>
          <w:rFonts w:ascii="Times New Roman" w:cs="Times New Roman" w:eastAsia="Times New Roman" w:hAnsi="Times New Roman"/>
          <w:sz w:val="20"/>
          <w:szCs w:val="20"/>
          <w:color w:val="auto"/>
        </w:rPr>
        <w:t>June 24, 2026</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6"/>
        </w:trPr>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Statements of Net Assets</w:t>
            </w:r>
          </w:p>
        </w:tc>
        <w:tc>
          <w:tcPr>
            <w:tcW w:w="380" w:type="dxa"/>
            <w:vAlign w:val="bottom"/>
            <w:tcBorders>
              <w:top w:val="single" w:sz="8" w:color="auto"/>
            </w:tcBorders>
          </w:tcPr>
          <w:p>
            <w:pPr>
              <w:spacing w:after="0"/>
              <w:rPr>
                <w:sz w:val="23"/>
                <w:szCs w:val="23"/>
                <w:color w:val="auto"/>
              </w:rPr>
            </w:pPr>
          </w:p>
        </w:tc>
        <w:tc>
          <w:tcPr>
            <w:tcW w:w="3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ConocoPhillips Savings Plan</w:t>
            </w:r>
          </w:p>
        </w:tc>
        <w:tc>
          <w:tcPr>
            <w:tcW w:w="0" w:type="dxa"/>
            <w:vAlign w:val="bottom"/>
          </w:tcPr>
          <w:p>
            <w:pPr>
              <w:spacing w:after="0"/>
              <w:rPr>
                <w:sz w:val="1"/>
                <w:szCs w:val="1"/>
                <w:color w:val="auto"/>
              </w:rPr>
            </w:pPr>
          </w:p>
        </w:tc>
      </w:tr>
      <w:tr>
        <w:trPr>
          <w:trHeight w:val="286"/>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Available for Benefits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22"/>
                <w:szCs w:val="22"/>
                <w:color w:val="auto"/>
              </w:rPr>
              <w:t>Thousands of Dollars</w:t>
            </w:r>
          </w:p>
        </w:tc>
        <w:tc>
          <w:tcPr>
            <w:tcW w:w="0" w:type="dxa"/>
            <w:vAlign w:val="bottom"/>
          </w:tcPr>
          <w:p>
            <w:pPr>
              <w:spacing w:after="0"/>
              <w:rPr>
                <w:sz w:val="1"/>
                <w:szCs w:val="1"/>
                <w:color w:val="auto"/>
              </w:rPr>
            </w:pPr>
          </w:p>
        </w:tc>
      </w:tr>
      <w:tr>
        <w:trPr>
          <w:trHeight w:val="265"/>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 December 31</w:t>
            </w: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506"/>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Assets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Receivables:</w:t>
            </w:r>
          </w:p>
        </w:tc>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26,277</w:t>
            </w: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 contributions receivables</w:t>
            </w:r>
          </w:p>
        </w:tc>
        <w:tc>
          <w:tcPr>
            <w:tcW w:w="38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24,012</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Notes receivable from participants</w:t>
            </w:r>
          </w:p>
        </w:tc>
        <w:tc>
          <w:tcPr>
            <w:tcW w:w="3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35,265</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32,278</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Receivable for securities sold</w:t>
            </w:r>
          </w:p>
        </w:tc>
        <w:tc>
          <w:tcPr>
            <w:tcW w:w="3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57,336</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7"/>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Other receivables</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35</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0" w:type="dxa"/>
            <w:vAlign w:val="bottom"/>
          </w:tcPr>
          <w:p>
            <w:pPr>
              <w:spacing w:after="0"/>
              <w:rPr>
                <w:sz w:val="1"/>
                <w:szCs w:val="1"/>
                <w:color w:val="auto"/>
              </w:rPr>
            </w:pPr>
          </w:p>
        </w:tc>
      </w:tr>
      <w:tr>
        <w:trPr>
          <w:trHeight w:val="246"/>
        </w:trPr>
        <w:tc>
          <w:tcPr>
            <w:tcW w:w="762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Total receivables</w:t>
            </w:r>
          </w:p>
        </w:tc>
        <w:tc>
          <w:tcPr>
            <w:tcW w:w="380" w:type="dxa"/>
            <w:vAlign w:val="bottom"/>
          </w:tcPr>
          <w:p>
            <w:pPr>
              <w:spacing w:after="0"/>
              <w:rPr>
                <w:sz w:val="21"/>
                <w:szCs w:val="21"/>
                <w:color w:val="auto"/>
              </w:rPr>
            </w:pPr>
          </w:p>
        </w:tc>
        <w:tc>
          <w:tcPr>
            <w:tcW w:w="1400" w:type="dxa"/>
            <w:vAlign w:val="bottom"/>
          </w:tcPr>
          <w:p>
            <w:pPr>
              <w:jc w:val="right"/>
              <w:ind w:right="32"/>
              <w:spacing w:after="0" w:line="246" w:lineRule="exact"/>
              <w:rPr>
                <w:sz w:val="20"/>
                <w:szCs w:val="20"/>
                <w:color w:val="auto"/>
              </w:rPr>
            </w:pPr>
            <w:r>
              <w:rPr>
                <w:rFonts w:ascii="Times New Roman" w:cs="Times New Roman" w:eastAsia="Times New Roman" w:hAnsi="Times New Roman"/>
                <w:sz w:val="22"/>
                <w:szCs w:val="22"/>
                <w:b w:val="1"/>
                <w:bCs w:val="1"/>
                <w:color w:val="auto"/>
              </w:rPr>
              <w:t>118,913</w:t>
            </w:r>
          </w:p>
        </w:tc>
        <w:tc>
          <w:tcPr>
            <w:tcW w:w="480" w:type="dxa"/>
            <w:vAlign w:val="bottom"/>
          </w:tcPr>
          <w:p>
            <w:pPr>
              <w:spacing w:after="0"/>
              <w:rPr>
                <w:sz w:val="21"/>
                <w:szCs w:val="21"/>
                <w:color w:val="auto"/>
              </w:rPr>
            </w:pPr>
          </w:p>
        </w:tc>
        <w:tc>
          <w:tcPr>
            <w:tcW w:w="1340" w:type="dxa"/>
            <w:vAlign w:val="bottom"/>
          </w:tcPr>
          <w:p>
            <w:pPr>
              <w:jc w:val="right"/>
              <w:spacing w:after="0" w:line="246" w:lineRule="exact"/>
              <w:rPr>
                <w:sz w:val="20"/>
                <w:szCs w:val="20"/>
                <w:color w:val="auto"/>
              </w:rPr>
            </w:pPr>
            <w:r>
              <w:rPr>
                <w:rFonts w:ascii="Times New Roman" w:cs="Times New Roman" w:eastAsia="Times New Roman" w:hAnsi="Times New Roman"/>
                <w:sz w:val="22"/>
                <w:szCs w:val="22"/>
                <w:color w:val="auto"/>
              </w:rPr>
              <w:t>56,418</w:t>
            </w: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Investments, at fair value</w:t>
            </w:r>
          </w:p>
        </w:tc>
        <w:tc>
          <w:tcPr>
            <w:tcW w:w="3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7,169,730</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5,966,836</w:t>
            </w: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Investments, at contract value</w:t>
            </w:r>
          </w:p>
        </w:tc>
        <w:tc>
          <w:tcPr>
            <w:tcW w:w="3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556,132</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7"/>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Plan interest in Stable Value Fund Master Trust</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690,153</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7,844,775</w:t>
            </w:r>
          </w:p>
        </w:tc>
        <w:tc>
          <w:tcPr>
            <w:tcW w:w="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6,713,407</w:t>
            </w:r>
          </w:p>
        </w:tc>
        <w:tc>
          <w:tcPr>
            <w:tcW w:w="0" w:type="dxa"/>
            <w:vAlign w:val="bottom"/>
          </w:tcPr>
          <w:p>
            <w:pPr>
              <w:spacing w:after="0"/>
              <w:rPr>
                <w:sz w:val="1"/>
                <w:szCs w:val="1"/>
                <w:color w:val="auto"/>
              </w:rPr>
            </w:pPr>
          </w:p>
        </w:tc>
      </w:tr>
      <w:tr>
        <w:trPr>
          <w:trHeight w:val="250"/>
        </w:trPr>
        <w:tc>
          <w:tcPr>
            <w:tcW w:w="762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Liabilities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Payables:</w:t>
            </w:r>
          </w:p>
        </w:tc>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4,744</w:t>
            </w: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Excess contributions payable</w:t>
            </w:r>
          </w:p>
        </w:tc>
        <w:tc>
          <w:tcPr>
            <w:tcW w:w="38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5,014</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4,744</w:t>
            </w: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5,014</w:t>
            </w:r>
          </w:p>
        </w:tc>
        <w:tc>
          <w:tcPr>
            <w:tcW w:w="0" w:type="dxa"/>
            <w:vAlign w:val="bottom"/>
          </w:tcPr>
          <w:p>
            <w:pPr>
              <w:spacing w:after="0"/>
              <w:rPr>
                <w:sz w:val="1"/>
                <w:szCs w:val="1"/>
                <w:color w:val="auto"/>
              </w:rPr>
            </w:pPr>
          </w:p>
        </w:tc>
      </w:tr>
      <w:tr>
        <w:trPr>
          <w:trHeight w:val="280"/>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7,840,031</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6,708,393</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6"/>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Statement of Changes in Net</w:t>
            </w:r>
          </w:p>
        </w:tc>
        <w:tc>
          <w:tcPr>
            <w:tcW w:w="140" w:type="dxa"/>
            <w:vAlign w:val="bottom"/>
            <w:tcBorders>
              <w:top w:val="single" w:sz="8" w:color="auto"/>
            </w:tcBorders>
          </w:tcPr>
          <w:p>
            <w:pPr>
              <w:spacing w:after="0"/>
              <w:rPr>
                <w:sz w:val="23"/>
                <w:szCs w:val="23"/>
                <w:color w:val="auto"/>
              </w:rPr>
            </w:pPr>
          </w:p>
        </w:tc>
        <w:tc>
          <w:tcPr>
            <w:tcW w:w="2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7"/>
              </w:rPr>
              <w:t>ConocoPhillips Savings Plan</w:t>
            </w:r>
          </w:p>
        </w:tc>
        <w:tc>
          <w:tcPr>
            <w:tcW w:w="0" w:type="dxa"/>
            <w:vAlign w:val="bottom"/>
          </w:tcPr>
          <w:p>
            <w:pPr>
              <w:spacing w:after="0"/>
              <w:rPr>
                <w:sz w:val="1"/>
                <w:szCs w:val="1"/>
                <w:color w:val="auto"/>
              </w:rPr>
            </w:pPr>
          </w:p>
        </w:tc>
      </w:tr>
      <w:tr>
        <w:trPr>
          <w:trHeight w:val="286"/>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Assets Available for Benefits</w:t>
            </w: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Year Ended December 31, 2025</w:t>
            </w:r>
          </w:p>
        </w:tc>
        <w:tc>
          <w:tcPr>
            <w:tcW w:w="140" w:type="dxa"/>
            <w:vAlign w:val="bottom"/>
          </w:tcPr>
          <w:p>
            <w:pPr>
              <w:spacing w:after="0"/>
              <w:rPr>
                <w:sz w:val="24"/>
                <w:szCs w:val="24"/>
                <w:color w:val="auto"/>
              </w:rPr>
            </w:pPr>
          </w:p>
        </w:tc>
        <w:tc>
          <w:tcPr>
            <w:tcW w:w="2660" w:type="dxa"/>
            <w:vAlign w:val="bottom"/>
            <w:gridSpan w:val="2"/>
          </w:tcPr>
          <w:p>
            <w:pPr>
              <w:jc w:val="center"/>
              <w:ind w:right="580"/>
              <w:spacing w:after="0"/>
              <w:rPr>
                <w:sz w:val="20"/>
                <w:szCs w:val="20"/>
                <w:color w:val="auto"/>
              </w:rPr>
            </w:pPr>
            <w:r>
              <w:rPr>
                <w:rFonts w:ascii="Times New Roman" w:cs="Times New Roman" w:eastAsia="Times New Roman" w:hAnsi="Times New Roman"/>
                <w:sz w:val="22"/>
                <w:szCs w:val="22"/>
                <w:color w:val="auto"/>
                <w:w w:val="96"/>
              </w:rPr>
              <w:t>Thousands</w:t>
            </w:r>
          </w:p>
        </w:tc>
        <w:tc>
          <w:tcPr>
            <w:tcW w:w="0" w:type="dxa"/>
            <w:vAlign w:val="bottom"/>
          </w:tcPr>
          <w:p>
            <w:pPr>
              <w:spacing w:after="0"/>
              <w:rPr>
                <w:sz w:val="1"/>
                <w:szCs w:val="1"/>
                <w:color w:val="auto"/>
              </w:rPr>
            </w:pPr>
          </w:p>
        </w:tc>
      </w:tr>
      <w:tr>
        <w:trPr>
          <w:trHeight w:val="282"/>
        </w:trPr>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2"/>
          </w:tcPr>
          <w:p>
            <w:pPr>
              <w:jc w:val="center"/>
              <w:ind w:right="580"/>
              <w:spacing w:after="0"/>
              <w:rPr>
                <w:sz w:val="20"/>
                <w:szCs w:val="20"/>
                <w:color w:val="auto"/>
              </w:rPr>
            </w:pPr>
            <w:r>
              <w:rPr>
                <w:rFonts w:ascii="Times New Roman" w:cs="Times New Roman" w:eastAsia="Times New Roman" w:hAnsi="Times New Roman"/>
                <w:sz w:val="22"/>
                <w:szCs w:val="22"/>
                <w:color w:val="auto"/>
                <w:w w:val="99"/>
              </w:rPr>
              <w:t>of Dollars</w:t>
            </w:r>
          </w:p>
        </w:tc>
        <w:tc>
          <w:tcPr>
            <w:tcW w:w="0" w:type="dxa"/>
            <w:vAlign w:val="bottom"/>
          </w:tcPr>
          <w:p>
            <w:pPr>
              <w:spacing w:after="0"/>
              <w:rPr>
                <w:sz w:val="1"/>
                <w:szCs w:val="1"/>
                <w:color w:val="auto"/>
              </w:rPr>
            </w:pPr>
          </w:p>
        </w:tc>
      </w:tr>
      <w:tr>
        <w:trPr>
          <w:trHeight w:val="507"/>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Additions</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148,078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Company contributions</w:t>
            </w:r>
          </w:p>
        </w:tc>
        <w:tc>
          <w:tcPr>
            <w:tcW w:w="140" w:type="dxa"/>
            <w:vAlign w:val="bottom"/>
            <w:vMerge w:val="continue"/>
          </w:tcPr>
          <w:p>
            <w:pPr>
              <w:spacing w:after="0"/>
              <w:rPr>
                <w:sz w:val="23"/>
                <w:szCs w:val="23"/>
                <w:color w:val="auto"/>
              </w:rPr>
            </w:pPr>
          </w:p>
        </w:tc>
        <w:tc>
          <w:tcPr>
            <w:tcW w:w="22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Active employee contributions</w:t>
            </w:r>
          </w:p>
        </w:tc>
        <w:tc>
          <w:tcPr>
            <w:tcW w:w="1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134,041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Rollovers</w:t>
            </w: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27,941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contributions</w:t>
            </w: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310,060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Investment income</w:t>
            </w:r>
          </w:p>
        </w:tc>
        <w:tc>
          <w:tcPr>
            <w:tcW w:w="140" w:type="dxa"/>
            <w:vAlign w:val="bottom"/>
          </w:tcPr>
          <w:p>
            <w:pPr>
              <w:spacing w:after="0"/>
              <w:rPr>
                <w:sz w:val="21"/>
                <w:szCs w:val="21"/>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97,165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Dividends and interest</w:t>
            </w:r>
          </w:p>
        </w:tc>
        <w:tc>
          <w:tcPr>
            <w:tcW w:w="140" w:type="dxa"/>
            <w:vAlign w:val="bottom"/>
          </w:tcPr>
          <w:p>
            <w:pPr>
              <w:spacing w:after="0"/>
              <w:rPr>
                <w:sz w:val="23"/>
                <w:szCs w:val="23"/>
                <w:color w:val="auto"/>
              </w:rPr>
            </w:pPr>
          </w:p>
        </w:tc>
        <w:tc>
          <w:tcPr>
            <w:tcW w:w="22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Net appreciation in fair value of investments</w:t>
            </w: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768,136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investment income</w:t>
            </w: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865,301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42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color w:val="auto"/>
              </w:rPr>
              <w:t>Interest income on notes receivable from participants</w:t>
            </w:r>
          </w:p>
        </w:tc>
        <w:tc>
          <w:tcPr>
            <w:tcW w:w="140" w:type="dxa"/>
            <w:vAlign w:val="bottom"/>
          </w:tcPr>
          <w:p>
            <w:pPr>
              <w:spacing w:after="0"/>
              <w:rPr>
                <w:sz w:val="21"/>
                <w:szCs w:val="21"/>
                <w:color w:val="auto"/>
              </w:rPr>
            </w:pPr>
          </w:p>
        </w:tc>
        <w:tc>
          <w:tcPr>
            <w:tcW w:w="222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b w:val="1"/>
                <w:bCs w:val="1"/>
                <w:color w:val="auto"/>
              </w:rPr>
              <w:t>2,255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additions</w:t>
            </w: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additions</w:t>
            </w: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1,177,645</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Deductions</w:t>
            </w:r>
          </w:p>
        </w:tc>
        <w:tc>
          <w:tcPr>
            <w:tcW w:w="140" w:type="dxa"/>
            <w:vAlign w:val="bottom"/>
          </w:tcPr>
          <w:p>
            <w:pPr>
              <w:spacing w:after="0"/>
              <w:rPr>
                <w:sz w:val="24"/>
                <w:szCs w:val="24"/>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838,321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 to participants or their beneficiaries</w:t>
            </w:r>
          </w:p>
        </w:tc>
        <w:tc>
          <w:tcPr>
            <w:tcW w:w="140" w:type="dxa"/>
            <w:vAlign w:val="bottom"/>
          </w:tcPr>
          <w:p>
            <w:pPr>
              <w:spacing w:after="0"/>
              <w:rPr>
                <w:sz w:val="23"/>
                <w:szCs w:val="23"/>
                <w:color w:val="auto"/>
              </w:rPr>
            </w:pPr>
          </w:p>
        </w:tc>
        <w:tc>
          <w:tcPr>
            <w:tcW w:w="22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Administrative expenses</w:t>
            </w: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1,480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deductions</w:t>
            </w:r>
          </w:p>
        </w:tc>
        <w:tc>
          <w:tcPr>
            <w:tcW w:w="1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839,801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Transfer from Marathon Oil Company Thrift Plan</w:t>
            </w:r>
          </w:p>
        </w:tc>
        <w:tc>
          <w:tcPr>
            <w:tcW w:w="1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793,794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increase</w:t>
            </w:r>
          </w:p>
        </w:tc>
        <w:tc>
          <w:tcPr>
            <w:tcW w:w="1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1,131,638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84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140" w:type="dxa"/>
            <w:vAlign w:val="bottom"/>
          </w:tcPr>
          <w:p>
            <w:pPr>
              <w:spacing w:after="0"/>
              <w:rPr>
                <w:sz w:val="24"/>
                <w:szCs w:val="24"/>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6,708,393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Beginning of year</w:t>
            </w: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7,840,031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 w:name="page7"/>
    <w:bookmarkEnd w:id="6"/>
    <w:p>
      <w:pPr>
        <w:ind w:left="20"/>
        <w:spacing w:after="0"/>
        <w:tabs>
          <w:tab w:leader="none" w:pos="8560" w:val="left"/>
        </w:tabs>
        <w:rPr>
          <w:sz w:val="20"/>
          <w:szCs w:val="20"/>
          <w:color w:val="auto"/>
        </w:rPr>
      </w:pPr>
      <w:r>
        <w:rPr>
          <w:rFonts w:ascii="Times New Roman" w:cs="Times New Roman" w:eastAsia="Times New Roman" w:hAnsi="Times New Roman"/>
          <w:sz w:val="22"/>
          <w:szCs w:val="22"/>
          <w:b w:val="1"/>
          <w:bCs w:val="1"/>
          <w:color w:val="auto"/>
        </w:rPr>
        <w:t>Notes to Financial Statements</w:t>
      </w:r>
      <w:r>
        <w:rPr>
          <w:sz w:val="20"/>
          <w:szCs w:val="20"/>
          <w:color w:val="auto"/>
        </w:rPr>
        <w:tab/>
      </w:r>
      <w:r>
        <w:rPr>
          <w:rFonts w:ascii="Times New Roman" w:cs="Times New Roman" w:eastAsia="Times New Roman" w:hAnsi="Times New Roman"/>
          <w:sz w:val="21"/>
          <w:szCs w:val="21"/>
          <w:b w:val="1"/>
          <w:bCs w:val="1"/>
          <w:color w:val="auto"/>
        </w:rPr>
        <w:t>ConocoPhillips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1--Plan Description</w:t>
      </w:r>
    </w:p>
    <w:p>
      <w:pPr>
        <w:spacing w:after="0" w:line="210"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21"/>
          <w:szCs w:val="21"/>
          <w:color w:val="auto"/>
        </w:rPr>
        <w:t>The following description of the ConocoPhillips Savings Plan (Plan) is as of December 31, 2025 and provides only general information. Participants should refer to the Plan document for a more complete description of the Plan’s provisions.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ind w:right="440"/>
        <w:spacing w:after="0" w:line="218" w:lineRule="auto"/>
        <w:rPr>
          <w:sz w:val="20"/>
          <w:szCs w:val="20"/>
          <w:color w:val="auto"/>
        </w:rPr>
      </w:pPr>
      <w:r>
        <w:rPr>
          <w:rFonts w:ascii="Times New Roman" w:cs="Times New Roman" w:eastAsia="Times New Roman" w:hAnsi="Times New Roman"/>
          <w:sz w:val="22"/>
          <w:szCs w:val="22"/>
          <w:color w:val="auto"/>
        </w:rPr>
        <w:t>The Plan is a defined contribution, 401(k) profit sharing plan, which includes an employee stock ownership plan (ESOP) component. Fidelity Workplace Services LLC serves as record keeper for the Plan and Fidelity Management Trust Company (Fidelity) serves as trustee.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is subject to the provisions of the Employee Retirement Income Security Act of 1974, as amended (ERISA).</w:t>
      </w:r>
    </w:p>
    <w:p>
      <w:pPr>
        <w:spacing w:after="0" w:line="206"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2"/>
          <w:szCs w:val="22"/>
          <w:color w:val="auto"/>
        </w:rPr>
        <w:t>During 2024, ConocoPhillips acquired Marathon Oil Corporation. Effective December 31, 2025, the Marathon Oil Company Thrift Plan was merged into the Plan with a net asset transfer of $793.8 million, which included a frozen self-directed brokerage account feature (see Note 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Eligibility</w:t>
      </w:r>
    </w:p>
    <w:p>
      <w:pPr>
        <w:ind w:right="100"/>
        <w:spacing w:after="0" w:line="225" w:lineRule="auto"/>
        <w:rPr>
          <w:sz w:val="20"/>
          <w:szCs w:val="20"/>
          <w:color w:val="auto"/>
        </w:rPr>
      </w:pPr>
      <w:r>
        <w:rPr>
          <w:rFonts w:ascii="Times New Roman" w:cs="Times New Roman" w:eastAsia="Times New Roman" w:hAnsi="Times New Roman"/>
          <w:sz w:val="22"/>
          <w:szCs w:val="22"/>
          <w:color w:val="auto"/>
        </w:rPr>
        <w:t>Generally, active employees of ConocoPhillips Company (the Company) and its subsidiaries on the direct U.S. dollar payroll are eligible to participate in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Contributions</w:t>
      </w:r>
    </w:p>
    <w:p>
      <w:pPr>
        <w:spacing w:after="0" w:line="20"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Most U.S. employees are eligible to participate in the Plan. Employees can deposit up to 75 percent of their eligible pay, subject to statutory limits, in the Plan to a variety of investment funds. Employees who participate in the Plan and contribute at least 1 percent of their eligible pay receive a 6 percent company cash match with a potential company discretionary cash contribution of up to 6 percent. For the plan year ended December 31, 2025, a company discretionary cash contribution of 3 percent was approved for January through June and 3 percent was approved for July through December.</w:t>
      </w:r>
    </w:p>
    <w:p>
      <w:pPr>
        <w:spacing w:after="0" w:line="194" w:lineRule="exact"/>
        <w:rPr>
          <w:sz w:val="20"/>
          <w:szCs w:val="20"/>
          <w:color w:val="auto"/>
        </w:rPr>
      </w:pPr>
    </w:p>
    <w:p>
      <w:pPr>
        <w:jc w:val="both"/>
        <w:ind w:right="220"/>
        <w:spacing w:after="0" w:line="238" w:lineRule="auto"/>
        <w:rPr>
          <w:sz w:val="20"/>
          <w:szCs w:val="20"/>
          <w:color w:val="auto"/>
        </w:rPr>
      </w:pPr>
      <w:r>
        <w:rPr>
          <w:rFonts w:ascii="Times New Roman" w:cs="Times New Roman" w:eastAsia="Times New Roman" w:hAnsi="Times New Roman"/>
          <w:sz w:val="22"/>
          <w:szCs w:val="22"/>
          <w:color w:val="auto"/>
        </w:rPr>
        <w:t>New employees, rehires, and employees that elected to opt out of the Cash Balance Plan (Title II of ConocoPhillips Retirement Plan) are eligible for a Company Retirement Contribution (CRC). These participants receive a 6 percent company contribution. The CRC does not require any employee contributions.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 employees are eligible to make catch-up contributions to the Plan beginning in the year they attain the age of 50.</w:t>
      </w:r>
    </w:p>
    <w:p>
      <w:pPr>
        <w:spacing w:after="0" w:line="220" w:lineRule="exact"/>
        <w:rPr>
          <w:sz w:val="20"/>
          <w:szCs w:val="20"/>
          <w:color w:val="auto"/>
        </w:rPr>
      </w:pPr>
    </w:p>
    <w:p>
      <w:pPr>
        <w:ind w:right="560"/>
        <w:spacing w:after="0" w:line="238" w:lineRule="auto"/>
        <w:rPr>
          <w:sz w:val="20"/>
          <w:szCs w:val="20"/>
          <w:color w:val="auto"/>
        </w:rPr>
      </w:pPr>
      <w:r>
        <w:rPr>
          <w:rFonts w:ascii="Times New Roman" w:cs="Times New Roman" w:eastAsia="Times New Roman" w:hAnsi="Times New Roman"/>
          <w:sz w:val="22"/>
          <w:szCs w:val="22"/>
          <w:color w:val="auto"/>
        </w:rPr>
        <w:t>Plan assets are invested in a variety of investment funds; however, the ConocoPhillips Leveraged Stock Fund, Phillips 66 Leveraged Stock Fund, and Phillips 66 Stock Fund are closed to new contributions. Investments in the Plan are participant-directed.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Participant Accounts</w:t>
      </w:r>
    </w:p>
    <w:p>
      <w:pPr>
        <w:spacing w:after="0" w:line="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Each participant’s account is allocated active employee contributions, company contributions, Plan earnings and losses, and charged with an allocation of investment and administrative expenses, as applicable. Allocations are based on participant earnings or account balances. Recordkeeping expenses are charged directly to each participant’s account on a quarterly basis. The benefit to which a participant is entitled is the balance in the participant’s vested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Vesting</w:t>
      </w:r>
    </w:p>
    <w:p>
      <w:pPr>
        <w:ind w:right="280"/>
        <w:spacing w:after="0" w:line="225" w:lineRule="auto"/>
        <w:rPr>
          <w:sz w:val="20"/>
          <w:szCs w:val="20"/>
          <w:color w:val="auto"/>
        </w:rPr>
      </w:pPr>
      <w:r>
        <w:rPr>
          <w:rFonts w:ascii="Times New Roman" w:cs="Times New Roman" w:eastAsia="Times New Roman" w:hAnsi="Times New Roman"/>
          <w:sz w:val="22"/>
          <w:szCs w:val="22"/>
          <w:color w:val="auto"/>
        </w:rPr>
        <w:t>Participants are immediately vested in their own contributions, company match and discretionary contributions. Participants in the CRC are 100% vested after three years of service with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ind w:right="380"/>
        <w:spacing w:after="0" w:line="225" w:lineRule="auto"/>
        <w:rPr>
          <w:sz w:val="20"/>
          <w:szCs w:val="20"/>
          <w:color w:val="auto"/>
        </w:rPr>
      </w:pPr>
      <w:r>
        <w:rPr>
          <w:rFonts w:ascii="Times New Roman" w:cs="Times New Roman" w:eastAsia="Times New Roman" w:hAnsi="Times New Roman"/>
          <w:sz w:val="22"/>
          <w:szCs w:val="22"/>
          <w:color w:val="auto"/>
        </w:rPr>
        <w:t>As a beneficial owner of ConocoPhillips Stock, Plan participants and beneficiaries are entitled to direct the trustee to vote the ConocoPhillips Stock attributable to their accounts.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Diversification</w:t>
      </w:r>
    </w:p>
    <w:p>
      <w:pPr>
        <w:ind w:right="200"/>
        <w:spacing w:after="0" w:line="214" w:lineRule="auto"/>
        <w:rPr>
          <w:sz w:val="20"/>
          <w:szCs w:val="20"/>
          <w:color w:val="auto"/>
        </w:rPr>
      </w:pPr>
      <w:r>
        <w:rPr>
          <w:rFonts w:ascii="Times New Roman" w:cs="Times New Roman" w:eastAsia="Times New Roman" w:hAnsi="Times New Roman"/>
          <w:sz w:val="22"/>
          <w:szCs w:val="22"/>
          <w:color w:val="auto"/>
        </w:rPr>
        <w:t>Generally, participants may make unlimited exchanges out of any investment fund in any dollar amount, whole percentages, or shares of their account to another investment fund subject to the exchange rules of the Plan. In addition, using selected investment percentages, a participant may request a reallocation of both the existing account and future contribution allocations or a rebalancing of the participant’s existing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 Accounting Method for ConocoPhillips Stock</w:t>
      </w:r>
    </w:p>
    <w:p>
      <w:pPr>
        <w:spacing w:after="0" w:line="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1"/>
          <w:szCs w:val="21"/>
          <w:color w:val="auto"/>
        </w:rPr>
        <w:t>Participants have the ability to buy or sell shares in real time. Real-time trading allows a participant to see a quote of the current market price and submit a buy/sell market or limit order eligible for immediate execution during normal market hours.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Distributions</w:t>
      </w:r>
    </w:p>
    <w:p>
      <w:pPr>
        <w:spacing w:after="0" w:line="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Total distributions from participant accounts can be made upon the occurrence of specified events, including the attainment of the age of 59½, death, disability, or termination of employment. Partial distributions are permitted in cases of specified financial hardship.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Installment Payments</w:t>
      </w:r>
    </w:p>
    <w:p>
      <w:pPr>
        <w:spacing w:after="0" w:line="20"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2"/>
          <w:szCs w:val="22"/>
          <w:color w:val="auto"/>
        </w:rPr>
        <w:t>A terminated employee or a beneficiary who is the surviving spouse of a participant is eligible to elect a distribution based on a fixed dollar amount or life expectancy installment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Pass Through</w:t>
      </w:r>
    </w:p>
    <w:p>
      <w:pPr>
        <w:spacing w:after="0" w:line="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2"/>
          <w:szCs w:val="22"/>
          <w:color w:val="auto"/>
        </w:rPr>
        <w:t>A participant can make an election to receive cash dividends on the shares of ConocoPhillips Stock attributable to the participant’s account invested in the ConocoPhillips Stock Fund and the ConocoPhillips Leveraged Stock Fund. The distribution of these dividends is made on each dividend payment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Forms of Payment</w:t>
      </w:r>
    </w:p>
    <w:p>
      <w:pPr>
        <w:spacing w:after="0" w:line="7" w:lineRule="exact"/>
        <w:rPr>
          <w:sz w:val="20"/>
          <w:szCs w:val="20"/>
          <w:color w:val="auto"/>
        </w:rPr>
      </w:pPr>
    </w:p>
    <w:p>
      <w:pPr>
        <w:jc w:val="both"/>
        <w:ind w:right="220"/>
        <w:spacing w:after="0" w:line="231" w:lineRule="auto"/>
        <w:rPr>
          <w:sz w:val="20"/>
          <w:szCs w:val="20"/>
          <w:color w:val="auto"/>
        </w:rPr>
      </w:pPr>
      <w:r>
        <w:rPr>
          <w:rFonts w:ascii="Times New Roman" w:cs="Times New Roman" w:eastAsia="Times New Roman" w:hAnsi="Times New Roman"/>
          <w:sz w:val="22"/>
          <w:szCs w:val="22"/>
          <w:color w:val="auto"/>
        </w:rPr>
        <w:t>Generally, distributions from participant accounts invested in ConocoPhillips Stock and Phillips 66 Stock can be made in cash, stock, or a combination of both. Distributions from all other funds in the Plan are made in cash. An election to make an eligible rollover distribution is also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Participant Loans</w:t>
      </w:r>
    </w:p>
    <w:p>
      <w:pPr>
        <w:spacing w:after="0" w:line="7"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22"/>
          <w:szCs w:val="22"/>
          <w:color w:val="auto"/>
        </w:rPr>
        <w:t>Active employee participants can request a loan from their account in the Plan. The minimum loan is $1,000. Generally, the maximum loan is the lesser of $50,000 or one-half of the vested value of the participant’s account. For those eligible for loans, three outstanding loans are available at any one time, one of which can be a home loan. Generally, the maximum term of a home loan is 238 months, and the maximum term of a general purpose loan is 58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Plan Trust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trust agreement with Fidelity provides for the administration of all assets in the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Administration</w:t>
      </w:r>
    </w:p>
    <w:p>
      <w:pPr>
        <w:ind w:right="220"/>
        <w:spacing w:after="0" w:line="214" w:lineRule="auto"/>
        <w:rPr>
          <w:sz w:val="20"/>
          <w:szCs w:val="20"/>
          <w:color w:val="auto"/>
        </w:rPr>
      </w:pPr>
      <w:r>
        <w:rPr>
          <w:rFonts w:ascii="Times New Roman" w:cs="Times New Roman" w:eastAsia="Times New Roman" w:hAnsi="Times New Roman"/>
          <w:sz w:val="22"/>
          <w:szCs w:val="22"/>
          <w:color w:val="auto"/>
        </w:rPr>
        <w:t>The Plan is administered by the ConocoPhillips Company Benefits Committee (Committee). Members of the Committee are appointed by the Board of Directors of the Company and serve without compensation, but may be reimbursed by the Company for necessary expenditures incurred in the discharge of their duties. Administrative expenses of the Plan are paid from assets of the Plan to the extent allowable by law, unless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i w:val="1"/>
          <w:iCs w:val="1"/>
          <w:color w:val="auto"/>
        </w:rPr>
        <w:t>Excess Contribution Payable</w:t>
      </w:r>
    </w:p>
    <w:p>
      <w:pPr>
        <w:ind w:right="20"/>
        <w:spacing w:after="0" w:line="218" w:lineRule="auto"/>
        <w:rPr>
          <w:sz w:val="20"/>
          <w:szCs w:val="20"/>
          <w:color w:val="auto"/>
        </w:rPr>
      </w:pPr>
      <w:r>
        <w:rPr>
          <w:rFonts w:ascii="Times New Roman" w:cs="Times New Roman" w:eastAsia="Times New Roman" w:hAnsi="Times New Roman"/>
          <w:sz w:val="22"/>
          <w:szCs w:val="22"/>
          <w:color w:val="auto"/>
        </w:rPr>
        <w:t>Amounts payable to participants for contributions in excess of amounts allowed by the Internal Revenue Service (IRS) are recorded as a liability with a corresponding reduction to contributions. The Plan distributed the excess contributions for Plan Year 2025 to the applicable participants by May 1, 2026.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2--Significant Accounting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Basis of Presentation</w:t>
      </w:r>
    </w:p>
    <w:p>
      <w:pPr>
        <w:ind w:right="580"/>
        <w:spacing w:after="0" w:line="225" w:lineRule="auto"/>
        <w:rPr>
          <w:sz w:val="20"/>
          <w:szCs w:val="20"/>
          <w:color w:val="auto"/>
        </w:rPr>
      </w:pPr>
      <w:r>
        <w:rPr>
          <w:rFonts w:ascii="Times New Roman" w:cs="Times New Roman" w:eastAsia="Times New Roman" w:hAnsi="Times New Roman"/>
          <w:sz w:val="22"/>
          <w:szCs w:val="22"/>
          <w:color w:val="auto"/>
        </w:rPr>
        <w:t>The Plan’s financial statements are presented on the accrual basis of accounting in conformity with U.S. generally accepted accounting principles (GAAP). Distributions to participants or their beneficiaries are recorded when paid.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 Receivable From Participants</w:t>
      </w:r>
    </w:p>
    <w:p>
      <w:pPr>
        <w:ind w:right="20"/>
        <w:spacing w:after="0" w:line="212" w:lineRule="auto"/>
        <w:rPr>
          <w:sz w:val="20"/>
          <w:szCs w:val="20"/>
          <w:color w:val="auto"/>
        </w:rPr>
      </w:pPr>
      <w:r>
        <w:rPr>
          <w:rFonts w:ascii="Times New Roman" w:cs="Times New Roman" w:eastAsia="Times New Roman" w:hAnsi="Times New Roman"/>
          <w:sz w:val="22"/>
          <w:szCs w:val="22"/>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If a participant ceases to make loan repayments and the Plan administrator deems the participant loan to be a distribution, the participant loan balance is reduced, and a benefit payment is recorded.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Receivable for Securities Sold</w:t>
      </w:r>
    </w:p>
    <w:p>
      <w:pPr>
        <w:ind w:right="60"/>
        <w:spacing w:after="0" w:line="218" w:lineRule="auto"/>
        <w:rPr>
          <w:sz w:val="20"/>
          <w:szCs w:val="20"/>
          <w:color w:val="auto"/>
        </w:rPr>
      </w:pPr>
      <w:r>
        <w:rPr>
          <w:rFonts w:ascii="Times New Roman" w:cs="Times New Roman" w:eastAsia="Times New Roman" w:hAnsi="Times New Roman"/>
          <w:sz w:val="22"/>
          <w:szCs w:val="22"/>
          <w:color w:val="auto"/>
        </w:rPr>
        <w:t>As of December 31, 2025, certain trades related to the merger of the Marathon Oil Company Thrift Plan were pending settlement and are therefore shown as a receivable at period end. This is largely related to Marathon Oil Company Thrift Plan Stable Value Fund assets that were mapped to the Plan's Stable Value Fund (SVF).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Use of Estimates</w:t>
      </w:r>
    </w:p>
    <w:p>
      <w:pPr>
        <w:spacing w:after="0" w:line="218"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GAAP requires management to make estimates that affect the amounts reported in the financial statements and accompanying notes and supplemental schedule. Actual results could differ from those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 in Presentation</w:t>
      </w:r>
    </w:p>
    <w:p>
      <w:pPr>
        <w:ind w:right="60"/>
        <w:spacing w:after="0" w:line="212" w:lineRule="auto"/>
        <w:rPr>
          <w:sz w:val="20"/>
          <w:szCs w:val="20"/>
          <w:color w:val="auto"/>
        </w:rPr>
      </w:pPr>
      <w:r>
        <w:rPr>
          <w:rFonts w:ascii="Times New Roman" w:cs="Times New Roman" w:eastAsia="Times New Roman" w:hAnsi="Times New Roman"/>
          <w:sz w:val="22"/>
          <w:szCs w:val="22"/>
          <w:color w:val="auto"/>
        </w:rPr>
        <w:t>In prior financial statements, the Plan's 100% interest in the SVF was presented as a single line item titled "Plan interest in Stable Value Fund Master Trust." For the year ended December 31, 2025, the Plan presented the underlying investments of the SVF within "Investments, at fair value" for the short-term investment fund (STIF) and "Investments, at contract value" for the fully benefit-responsive synthetic guaranteed investment contracts (SYNs). SVF-related fair value disclosures have been incorporated into Note 3 -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3--Investments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Investment Valuation and Income Recognition</w:t>
      </w:r>
    </w:p>
    <w:p>
      <w:pPr>
        <w:jc w:val="both"/>
        <w:ind w:right="360"/>
        <w:spacing w:after="0" w:line="218" w:lineRule="auto"/>
        <w:rPr>
          <w:sz w:val="20"/>
          <w:szCs w:val="20"/>
          <w:color w:val="auto"/>
        </w:rPr>
      </w:pPr>
      <w:r>
        <w:rPr>
          <w:rFonts w:ascii="Times New Roman" w:cs="Times New Roman" w:eastAsia="Times New Roman" w:hAnsi="Times New Roman"/>
          <w:sz w:val="22"/>
          <w:szCs w:val="22"/>
          <w:color w:val="auto"/>
        </w:rPr>
        <w:t>Investments held by the Plan (except the SYNs) are stated at fair value less costs to sell, if those costs are significant. The fair value of a financial instrument is the amount that would be received to sell an asset or paid to transfer a liability in an orderly transaction between market participants at the measurement date (the exit price).</w:t>
      </w:r>
    </w:p>
    <w:p>
      <w:pPr>
        <w:spacing w:after="0" w:line="178"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22"/>
          <w:szCs w:val="22"/>
          <w:color w:val="auto"/>
        </w:rPr>
        <w:t>Common stock and mutual funds are valued using quoted market prices. Common/collective trusts (CCTs) are valued at net asset value (NAV) per share as determined by the issuer based on the fair value of the underlying investments. Self-directed brokerage accounts may be holding stocks, corporate bonds, treasury securities, or other securities available on the active market. These securities are valued using quoted market prices. The assets in the SVF include SYNs and a STIF. SYNs are recorded at contract value. Contract value is the relevant measurement attributable to SYNs because contract value is the amount participants would receive if they were to initiate permitted transactions under the terms of the Plan. The contract value represents contributions plus earnings, less participant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 w:name="page10"/>
    <w:bookmarkEnd w:id="9"/>
    <w:p>
      <w:pPr>
        <w:ind w:right="620"/>
        <w:spacing w:after="0" w:line="236" w:lineRule="auto"/>
        <w:rPr>
          <w:sz w:val="20"/>
          <w:szCs w:val="20"/>
          <w:color w:val="auto"/>
        </w:rPr>
      </w:pPr>
      <w:r>
        <w:rPr>
          <w:rFonts w:ascii="Times New Roman" w:cs="Times New Roman" w:eastAsia="Times New Roman" w:hAnsi="Times New Roman"/>
          <w:sz w:val="22"/>
          <w:szCs w:val="22"/>
          <w:color w:val="auto"/>
        </w:rPr>
        <w:t>withdrawals and administrative expenses. SYNs are backed by units of CCTs. The STIF is valued at amortized cost, which approximates fair value.</w:t>
      </w:r>
    </w:p>
    <w:p>
      <w:pPr>
        <w:spacing w:after="0" w:line="177" w:lineRule="exact"/>
        <w:rPr>
          <w:sz w:val="20"/>
          <w:szCs w:val="20"/>
          <w:color w:val="auto"/>
        </w:rPr>
      </w:pPr>
    </w:p>
    <w:p>
      <w:pPr>
        <w:ind w:right="300"/>
        <w:spacing w:after="0" w:line="225" w:lineRule="auto"/>
        <w:rPr>
          <w:sz w:val="20"/>
          <w:szCs w:val="20"/>
          <w:color w:val="auto"/>
        </w:rPr>
      </w:pPr>
      <w:r>
        <w:rPr>
          <w:rFonts w:ascii="Times New Roman" w:cs="Times New Roman" w:eastAsia="Times New Roman" w:hAnsi="Times New Roman"/>
          <w:sz w:val="22"/>
          <w:szCs w:val="22"/>
          <w:color w:val="auto"/>
        </w:rPr>
        <w:t>Purchases and sales of investments are recorded on a trade-date basis. Dividends are recorded on the ex-dividend date. Interest income is recorded on the accrual basis. Net appreciation (depreciation) includes the Plan’s gains and losses on investments bought and sold as well as held during the year.</w:t>
      </w:r>
    </w:p>
    <w:p>
      <w:pPr>
        <w:spacing w:after="0" w:line="179"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2"/>
          <w:szCs w:val="22"/>
          <w:color w:val="auto"/>
        </w:rPr>
        <w:t>Investment securities are exposed to various risks, including interest rate, market, and credit risks. Due to the level of risk associated with certain investment securities, it is possible that changes in values of investments will occur in the near term and that such changes could materially affect participants’ account balances and the amounts reported in the statements of net assets available for benefits.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Stable Value Fund</w:t>
      </w:r>
    </w:p>
    <w:p>
      <w:pPr>
        <w:spacing w:after="0"/>
        <w:rPr>
          <w:sz w:val="20"/>
          <w:szCs w:val="20"/>
          <w:color w:val="auto"/>
        </w:rPr>
      </w:pPr>
      <w:r>
        <w:rPr>
          <w:rFonts w:ascii="Times New Roman" w:cs="Times New Roman" w:eastAsia="Times New Roman" w:hAnsi="Times New Roman"/>
          <w:sz w:val="22"/>
          <w:szCs w:val="22"/>
          <w:color w:val="auto"/>
        </w:rPr>
        <w:t>The SVF consists of six SYN's backed by units of CCTs and a STIF. Fidelity serves as trustee.</w:t>
      </w:r>
    </w:p>
    <w:p>
      <w:pPr>
        <w:spacing w:after="0" w:line="182" w:lineRule="exact"/>
        <w:rPr>
          <w:sz w:val="20"/>
          <w:szCs w:val="20"/>
          <w:color w:val="auto"/>
        </w:rPr>
      </w:pPr>
    </w:p>
    <w:p>
      <w:pPr>
        <w:ind w:right="60"/>
        <w:spacing w:after="0" w:line="212" w:lineRule="auto"/>
        <w:rPr>
          <w:sz w:val="20"/>
          <w:szCs w:val="20"/>
          <w:color w:val="auto"/>
        </w:rPr>
      </w:pPr>
      <w:r>
        <w:rPr>
          <w:rFonts w:ascii="Times New Roman" w:cs="Times New Roman" w:eastAsia="Times New Roman" w:hAnsi="Times New Roman"/>
          <w:sz w:val="22"/>
          <w:szCs w:val="22"/>
          <w:color w:val="auto"/>
        </w:rPr>
        <w:t>The STIF seeks to provide safety of principal and daily liquidity by investing in high-quality money market instruments. Participant directed withdrawals or exchanges from the SVF may be made on any business day. For each SYN, the underlying investments consist of units of fixed-income CCTs supported by a wrapper contract issued by an insurance company or bank to provide market and cash flow protection to the Plan to allow for participant transactions at contract value. The wrapper contract amortizes the difference between the market value and contract value of the underlying investments resulting from realized and unrealized gains and losses, typically over a period related to the duration of the underlying portfolio, through adjustments to the future interest crediting rate. The wrapper contract includes provisions that generally prevent the calculated interest crediting rate from falling below zero.</w:t>
      </w:r>
    </w:p>
    <w:p>
      <w:pPr>
        <w:spacing w:after="0" w:line="183" w:lineRule="exact"/>
        <w:rPr>
          <w:sz w:val="20"/>
          <w:szCs w:val="20"/>
          <w:color w:val="auto"/>
        </w:rPr>
      </w:pPr>
    </w:p>
    <w:p>
      <w:pPr>
        <w:ind w:right="640"/>
        <w:spacing w:after="0" w:line="236" w:lineRule="auto"/>
        <w:rPr>
          <w:sz w:val="20"/>
          <w:szCs w:val="20"/>
          <w:color w:val="auto"/>
        </w:rPr>
      </w:pPr>
      <w:r>
        <w:rPr>
          <w:rFonts w:ascii="Times New Roman" w:cs="Times New Roman" w:eastAsia="Times New Roman" w:hAnsi="Times New Roman"/>
          <w:sz w:val="22"/>
          <w:szCs w:val="22"/>
          <w:color w:val="auto"/>
        </w:rPr>
        <w:t>As of December 31, 2024, the SVF was $690.2 million, including $672.2 million of SYNs, measured at contract value and $18.0 million in a STIF, measured at fair value using Level 2 inputs.</w:t>
      </w:r>
    </w:p>
    <w:p>
      <w:pPr>
        <w:spacing w:after="0" w:line="177"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2"/>
          <w:szCs w:val="22"/>
          <w:color w:val="auto"/>
        </w:rPr>
        <w:t>Certain events might limit the ability of the Plan to transact at contract value with the contract issuers. In these scenarios, transactions could instead occur at fair market value. These events include, but are not limited to, termination of the Plan or SVF, a material adverse change to the provisions of the Plan, a decision by the administrator of the Plan to withdraw from or terminate an investment contract without securing a replacement contract, and in the event of a spin-off or sale of a division if the terms of a successor plan do not meet the investment contract issuer’s underwriting criteria for issuance of a clone investment contract. However, the Committee does not anticipate that limitations on book value transactions resulting from the events described above are probable of occurrence.</w:t>
      </w:r>
    </w:p>
    <w:p>
      <w:pPr>
        <w:spacing w:after="0" w:line="1"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22"/>
          <w:szCs w:val="22"/>
          <w:color w:val="auto"/>
        </w:rPr>
        <w:t>Examples of events that would permit a contract issuer to terminate an investment contract upon short notice include the Plan’s loss of its qualified tax status, uncured material breaches of responsibilities, or material and adverse changes to the provisions of the Plan. If one of these occurred, the investment contract issuer could terminate the investment contract at fair value. The Committee does not anticipate that any of these events are probable of occurrence.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Institutional and Vanguard Trusts</w:t>
      </w:r>
    </w:p>
    <w:p>
      <w:pPr>
        <w:ind w:right="80"/>
        <w:spacing w:after="0" w:line="211" w:lineRule="auto"/>
        <w:rPr>
          <w:sz w:val="20"/>
          <w:szCs w:val="20"/>
          <w:color w:val="auto"/>
        </w:rPr>
      </w:pPr>
      <w:r>
        <w:rPr>
          <w:rFonts w:ascii="Times New Roman" w:cs="Times New Roman" w:eastAsia="Times New Roman" w:hAnsi="Times New Roman"/>
          <w:sz w:val="22"/>
          <w:szCs w:val="22"/>
          <w:color w:val="auto"/>
        </w:rPr>
        <w:t>Institutional Trusts including BlackRock, Fidelity, Geode Capital Management, PIMCO and State Street Trusts, are comprised of low-cost domestic equity, international equity, and domestic fixed-income investment funds. Each investment option employs a full replication indexing approach in which the trust seeks to match the performance of a specified index while minimizing net tracking error. Participant transactions for the BlackRock Institutional Trusts occur in a custom portfolio which holds shares of the underlying trust. Since participant transactions occur at the portfolio level instead of directly into the trust itself, NAV per share will trend with but not equal the NAV per share in the underlying trust held by the Plan.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0" w:name="page11"/>
    <w:bookmarkEnd w:id="10"/>
    <w:p>
      <w:pPr>
        <w:ind w:right="20"/>
        <w:spacing w:after="0" w:line="215" w:lineRule="auto"/>
        <w:rPr>
          <w:sz w:val="20"/>
          <w:szCs w:val="20"/>
          <w:color w:val="auto"/>
        </w:rPr>
      </w:pPr>
      <w:r>
        <w:rPr>
          <w:rFonts w:ascii="Times New Roman" w:cs="Times New Roman" w:eastAsia="Times New Roman" w:hAnsi="Times New Roman"/>
          <w:sz w:val="22"/>
          <w:szCs w:val="22"/>
          <w:color w:val="auto"/>
        </w:rPr>
        <w:t>The Vanguard Target Retirement Trusts are highly diversified funds whose objective is to offer an appropriate balance of risk and return at every stage of retirement investing. The year in the trust name refers to the approximate year (the target retirement date) when an investor in the trust would retire and leave the workforce. Each trust automatically rebalances and adjusts its asset mix over time, gradually shifting to become more conservative as the trust approaches its target retirement date. Once a trust has passed its target retirement date, its allocation is gradually adjusted to match that of the Vanguard Target Retirement Income Trust and it may merge with that trust in seven years.</w:t>
      </w:r>
    </w:p>
    <w:p>
      <w:pPr>
        <w:spacing w:after="0" w:line="17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The trustees of the Institutional and Vanguard Trusts, in their sole discretion, but upon consultation with the Plan, shall decide whether to honor a redemption request in cash, in kind, or a combination of both. The trustees will use their best efforts to distribute proceeds as soon as practicable; provided however, that (i) cash proceeds from the sale of securities liquidated to fund a withdrawal need not be paid until after the actual settlement date or dates of the sale of such securities; and (ii) the trustees may suspend redemptions and/or postpone the payment of redemption proceeds at times when the New York Stock Exchange is closed or during other emergency circumstances.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Self-directed Brokerage Accounts</w:t>
      </w:r>
    </w:p>
    <w:p>
      <w:pPr>
        <w:ind w:right="380"/>
        <w:spacing w:after="0" w:line="225" w:lineRule="auto"/>
        <w:rPr>
          <w:sz w:val="20"/>
          <w:szCs w:val="20"/>
          <w:color w:val="auto"/>
        </w:rPr>
      </w:pPr>
      <w:r>
        <w:rPr>
          <w:rFonts w:ascii="Times New Roman" w:cs="Times New Roman" w:eastAsia="Times New Roman" w:hAnsi="Times New Roman"/>
          <w:sz w:val="21"/>
          <w:szCs w:val="21"/>
          <w:color w:val="auto"/>
        </w:rPr>
        <w:t>In connection with the merger of the Marathon Oil Company Thrift Plan into the Plan, the Plan added a frozen self-directed brokerage account feature. As a frozen feature, interest and dividends generated from investments in such brokerage accounts would be credited to the investments that generated them, but no further trading activity is permitted other than to sell investments and deposit cash proceeds into the participant’s core cash investment option of the brokerage account.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Note 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Value Measurements</w:t>
      </w:r>
    </w:p>
    <w:p>
      <w:pPr>
        <w:spacing w:after="0" w:line="210" w:lineRule="exact"/>
        <w:rPr>
          <w:sz w:val="20"/>
          <w:szCs w:val="20"/>
          <w:color w:val="auto"/>
        </w:rPr>
      </w:pPr>
    </w:p>
    <w:p>
      <w:pPr>
        <w:ind w:right="480"/>
        <w:spacing w:after="0" w:line="220" w:lineRule="auto"/>
        <w:rPr>
          <w:sz w:val="20"/>
          <w:szCs w:val="20"/>
          <w:color w:val="auto"/>
        </w:rPr>
      </w:pPr>
      <w:r>
        <w:rPr>
          <w:rFonts w:ascii="Times New Roman" w:cs="Times New Roman" w:eastAsia="Times New Roman" w:hAnsi="Times New Roman"/>
          <w:sz w:val="22"/>
          <w:szCs w:val="22"/>
          <w:color w:val="auto"/>
        </w:rPr>
        <w:t>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33" w:lineRule="exact"/>
        <w:rPr>
          <w:sz w:val="20"/>
          <w:szCs w:val="20"/>
          <w:color w:val="auto"/>
        </w:rPr>
      </w:pPr>
    </w:p>
    <w:p>
      <w:pPr>
        <w:ind w:left="1440" w:right="560" w:hanging="1192"/>
        <w:spacing w:after="0" w:line="236" w:lineRule="auto"/>
        <w:tabs>
          <w:tab w:leader="none" w:pos="1420" w:val="left"/>
        </w:tabs>
        <w:rPr>
          <w:sz w:val="20"/>
          <w:szCs w:val="20"/>
          <w:color w:val="auto"/>
        </w:rPr>
      </w:pPr>
      <w:r>
        <w:rPr>
          <w:rFonts w:ascii="Times New Roman" w:cs="Times New Roman" w:eastAsia="Times New Roman" w:hAnsi="Times New Roman"/>
          <w:sz w:val="22"/>
          <w:szCs w:val="22"/>
          <w:color w:val="auto"/>
        </w:rPr>
        <w:t>Level 1</w:t>
      </w:r>
      <w:r>
        <w:rPr>
          <w:sz w:val="20"/>
          <w:szCs w:val="20"/>
          <w:color w:val="auto"/>
        </w:rPr>
        <w:tab/>
      </w:r>
      <w:r>
        <w:rPr>
          <w:rFonts w:ascii="Times New Roman" w:cs="Times New Roman" w:eastAsia="Times New Roman" w:hAnsi="Times New Roman"/>
          <w:sz w:val="22"/>
          <w:szCs w:val="22"/>
          <w:color w:val="auto"/>
        </w:rPr>
        <w:t>Inputs to the valuation methodology are unadjusted quoted prices for identical assets or liabilities in active markets.</w:t>
      </w:r>
    </w:p>
    <w:p>
      <w:pPr>
        <w:spacing w:after="0" w:line="218" w:lineRule="exact"/>
        <w:rPr>
          <w:sz w:val="20"/>
          <w:szCs w:val="20"/>
          <w:color w:val="auto"/>
        </w:rPr>
      </w:pPr>
    </w:p>
    <w:p>
      <w:pPr>
        <w:ind w:left="1440" w:right="1200" w:hanging="1192"/>
        <w:spacing w:after="0" w:line="216" w:lineRule="auto"/>
        <w:tabs>
          <w:tab w:leader="none" w:pos="1420" w:val="left"/>
        </w:tabs>
        <w:rPr>
          <w:sz w:val="20"/>
          <w:szCs w:val="20"/>
          <w:color w:val="auto"/>
        </w:rPr>
      </w:pPr>
      <w:r>
        <w:rPr>
          <w:rFonts w:ascii="Times New Roman" w:cs="Times New Roman" w:eastAsia="Times New Roman" w:hAnsi="Times New Roman"/>
          <w:sz w:val="22"/>
          <w:szCs w:val="22"/>
          <w:color w:val="auto"/>
        </w:rPr>
        <w:t>Level 2</w:t>
      </w:r>
      <w:r>
        <w:rPr>
          <w:sz w:val="20"/>
          <w:szCs w:val="20"/>
          <w:color w:val="auto"/>
        </w:rPr>
        <w:tab/>
      </w:r>
      <w:r>
        <w:rPr>
          <w:rFonts w:ascii="Times New Roman" w:cs="Times New Roman" w:eastAsia="Times New Roman" w:hAnsi="Times New Roman"/>
          <w:sz w:val="22"/>
          <w:szCs w:val="22"/>
          <w:color w:val="auto"/>
        </w:rPr>
        <w:t>Inputs to the valuation methodology include quoted prices for similar assets and liabilities in active markets, and inputs that are observable for the asset or liability,</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either directly or indirectly, for substantially the full term of the financial instrument.</w:t>
      </w:r>
    </w:p>
    <w:p>
      <w:pPr>
        <w:spacing w:after="0" w:line="22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22"/>
          <w:szCs w:val="22"/>
          <w:color w:val="auto"/>
        </w:rPr>
        <w:t>Level 3</w:t>
      </w:r>
      <w:r>
        <w:rPr>
          <w:sz w:val="20"/>
          <w:szCs w:val="20"/>
          <w:color w:val="auto"/>
        </w:rPr>
        <w:tab/>
      </w:r>
      <w:r>
        <w:rPr>
          <w:rFonts w:ascii="Times New Roman" w:cs="Times New Roman" w:eastAsia="Times New Roman" w:hAnsi="Times New Roman"/>
          <w:sz w:val="21"/>
          <w:szCs w:val="21"/>
          <w:color w:val="auto"/>
        </w:rPr>
        <w:t>Inputs to the valuation methodology are unobservable and significant to the fair value measurement.</w:t>
      </w:r>
    </w:p>
    <w:p>
      <w:pPr>
        <w:spacing w:after="0" w:line="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financial instrument’s level within the fair value hierarchy is based on the lowest level of any input that is significant to the fair value measurement.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set forth by level, within the fair value hierarchy, the Plan’s investment assets at fair value.</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732"/>
              <w:spacing w:after="0"/>
              <w:rPr>
                <w:sz w:val="20"/>
                <w:szCs w:val="20"/>
                <w:color w:val="auto"/>
              </w:rPr>
            </w:pPr>
            <w:r>
              <w:rPr>
                <w:rFonts w:ascii="Times New Roman" w:cs="Times New Roman" w:eastAsia="Times New Roman" w:hAnsi="Times New Roman"/>
                <w:sz w:val="22"/>
                <w:szCs w:val="22"/>
                <w:color w:val="auto"/>
                <w:w w:val="98"/>
              </w:rPr>
              <w:t>Thousands of Dollars</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6"/>
          </w:tcPr>
          <w:p>
            <w:pPr>
              <w:jc w:val="center"/>
              <w:ind w:left="712"/>
              <w:spacing w:after="0"/>
              <w:rPr>
                <w:sz w:val="20"/>
                <w:szCs w:val="20"/>
                <w:color w:val="auto"/>
              </w:rPr>
            </w:pPr>
            <w:r>
              <w:rPr>
                <w:rFonts w:ascii="Times New Roman" w:cs="Times New Roman" w:eastAsia="Times New Roman" w:hAnsi="Times New Roman"/>
                <w:sz w:val="22"/>
                <w:szCs w:val="22"/>
                <w:color w:val="auto"/>
                <w:w w:val="97"/>
              </w:rPr>
              <w:t>Assets at Fair Value as of December 31, 2025</w:t>
            </w:r>
          </w:p>
        </w:tc>
        <w:tc>
          <w:tcPr>
            <w:tcW w:w="1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Mutual Funds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Level 1</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Level 2</w:t>
            </w:r>
          </w:p>
        </w:tc>
        <w:tc>
          <w:tcPr>
            <w:tcW w:w="1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Level 3</w:t>
            </w: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w w:val="98"/>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660" w:type="dxa"/>
            <w:vAlign w:val="bottom"/>
            <w:gridSpan w:val="2"/>
            <w:vMerge w:val="continue"/>
          </w:tcPr>
          <w:p>
            <w:pPr>
              <w:spacing w:after="0"/>
              <w:rPr>
                <w:sz w:val="21"/>
                <w:szCs w:val="21"/>
                <w:color w:val="auto"/>
              </w:rPr>
            </w:pPr>
          </w:p>
        </w:tc>
        <w:tc>
          <w:tcPr>
            <w:tcW w:w="320" w:type="dxa"/>
            <w:vAlign w:val="bottom"/>
          </w:tcPr>
          <w:p>
            <w:pPr>
              <w:jc w:val="right"/>
              <w:ind w:right="92"/>
              <w:spacing w:after="0" w:line="245"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3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b w:val="1"/>
                <w:bCs w:val="1"/>
                <w:color w:val="auto"/>
              </w:rPr>
              <w:t>781,204</w:t>
            </w:r>
          </w:p>
        </w:tc>
        <w:tc>
          <w:tcPr>
            <w:tcW w:w="280" w:type="dxa"/>
            <w:vAlign w:val="bottom"/>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1440" w:type="dxa"/>
            <w:vAlign w:val="bottom"/>
          </w:tcPr>
          <w:p>
            <w:pPr>
              <w:jc w:val="right"/>
              <w:ind w:right="32"/>
              <w:spacing w:after="0" w:line="245" w:lineRule="exact"/>
              <w:rPr>
                <w:sz w:val="20"/>
                <w:szCs w:val="20"/>
                <w:color w:val="auto"/>
              </w:rPr>
            </w:pPr>
            <w:r>
              <w:rPr>
                <w:rFonts w:ascii="Times New Roman" w:cs="Times New Roman" w:eastAsia="Times New Roman" w:hAnsi="Times New Roman"/>
                <w:sz w:val="22"/>
                <w:szCs w:val="22"/>
                <w:b w:val="1"/>
                <w:bCs w:val="1"/>
                <w:color w:val="auto"/>
              </w:rPr>
              <w:t>— $</w:t>
            </w:r>
          </w:p>
        </w:tc>
        <w:tc>
          <w:tcPr>
            <w:tcW w:w="1780" w:type="dxa"/>
            <w:vAlign w:val="bottom"/>
            <w:gridSpan w:val="3"/>
          </w:tcPr>
          <w:p>
            <w:pPr>
              <w:ind w:left="880"/>
              <w:spacing w:after="0" w:line="245" w:lineRule="exact"/>
              <w:rPr>
                <w:sz w:val="20"/>
                <w:szCs w:val="20"/>
                <w:color w:val="auto"/>
              </w:rPr>
            </w:pPr>
            <w:r>
              <w:rPr>
                <w:rFonts w:ascii="Times New Roman" w:cs="Times New Roman" w:eastAsia="Times New Roman" w:hAnsi="Times New Roman"/>
                <w:sz w:val="22"/>
                <w:szCs w:val="22"/>
                <w:b w:val="1"/>
                <w:bCs w:val="1"/>
                <w:color w:val="auto"/>
              </w:rPr>
              <w:t>— $</w:t>
            </w:r>
          </w:p>
        </w:tc>
        <w:tc>
          <w:tcPr>
            <w:tcW w:w="114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b w:val="1"/>
                <w:bCs w:val="1"/>
                <w:color w:val="auto"/>
              </w:rPr>
              <w:t>781,204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Common Stock</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1,072,048</w:t>
            </w:r>
          </w:p>
        </w:tc>
        <w:tc>
          <w:tcPr>
            <w:tcW w:w="280" w:type="dxa"/>
            <w:vAlign w:val="bottom"/>
          </w:tcPr>
          <w:p>
            <w:pPr>
              <w:spacing w:after="0"/>
              <w:rPr>
                <w:sz w:val="23"/>
                <w:szCs w:val="23"/>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22"/>
                <w:szCs w:val="22"/>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1,072,048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Self-Directed Brokerage Accounts</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46,576</w:t>
            </w:r>
          </w:p>
        </w:tc>
        <w:tc>
          <w:tcPr>
            <w:tcW w:w="280" w:type="dxa"/>
            <w:vAlign w:val="bottom"/>
          </w:tcPr>
          <w:p>
            <w:pPr>
              <w:spacing w:after="0"/>
              <w:rPr>
                <w:sz w:val="23"/>
                <w:szCs w:val="23"/>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22"/>
                <w:szCs w:val="22"/>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46,576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STIF</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9,956</w:t>
            </w:r>
          </w:p>
        </w:tc>
        <w:tc>
          <w:tcPr>
            <w:tcW w:w="17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22"/>
                <w:szCs w:val="22"/>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9,956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Total in fair value hierarchy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1,899,828</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9,956 $</w:t>
            </w:r>
          </w:p>
        </w:tc>
        <w:tc>
          <w:tcPr>
            <w:tcW w:w="17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22"/>
                <w:szCs w:val="22"/>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1,909,784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Investments measured at net asset value*</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5,259,946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Common/Collective Trusts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7,169,730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0"/>
        </w:trPr>
        <w:tc>
          <w:tcPr>
            <w:tcW w:w="4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732"/>
              <w:spacing w:after="0"/>
              <w:rPr>
                <w:sz w:val="20"/>
                <w:szCs w:val="20"/>
                <w:color w:val="auto"/>
              </w:rPr>
            </w:pPr>
            <w:r>
              <w:rPr>
                <w:rFonts w:ascii="Times New Roman" w:cs="Times New Roman" w:eastAsia="Times New Roman" w:hAnsi="Times New Roman"/>
                <w:sz w:val="22"/>
                <w:szCs w:val="22"/>
                <w:color w:val="auto"/>
                <w:w w:val="98"/>
              </w:rPr>
              <w:t>Thousands of Dollars</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6"/>
          </w:tcPr>
          <w:p>
            <w:pPr>
              <w:jc w:val="center"/>
              <w:ind w:left="712"/>
              <w:spacing w:after="0"/>
              <w:rPr>
                <w:sz w:val="20"/>
                <w:szCs w:val="20"/>
                <w:color w:val="auto"/>
              </w:rPr>
            </w:pPr>
            <w:r>
              <w:rPr>
                <w:rFonts w:ascii="Times New Roman" w:cs="Times New Roman" w:eastAsia="Times New Roman" w:hAnsi="Times New Roman"/>
                <w:sz w:val="22"/>
                <w:szCs w:val="22"/>
                <w:color w:val="auto"/>
                <w:w w:val="97"/>
              </w:rPr>
              <w:t>Assets at Fair Value as of December 31, 2024</w:t>
            </w: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Mutual Funds</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Level 1</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Level 2</w:t>
            </w:r>
          </w:p>
        </w:tc>
        <w:tc>
          <w:tcPr>
            <w:tcW w:w="1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Level 3</w:t>
            </w: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color w:val="auto"/>
              </w:rPr>
              <w:t>Total</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1,010,120</w:t>
            </w:r>
          </w:p>
        </w:tc>
        <w:tc>
          <w:tcPr>
            <w:tcW w:w="280" w:type="dxa"/>
            <w:vAlign w:val="bottom"/>
          </w:tcPr>
          <w:p>
            <w:pPr>
              <w:jc w:val="center"/>
              <w:spacing w:after="0" w:line="249" w:lineRule="exact"/>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ind w:left="900"/>
              <w:spacing w:after="0" w:line="249" w:lineRule="exact"/>
              <w:rPr>
                <w:sz w:val="20"/>
                <w:szCs w:val="20"/>
                <w:color w:val="auto"/>
              </w:rPr>
            </w:pPr>
            <w:r>
              <w:rPr>
                <w:rFonts w:ascii="Times New Roman" w:cs="Times New Roman" w:eastAsia="Times New Roman" w:hAnsi="Times New Roman"/>
                <w:sz w:val="22"/>
                <w:szCs w:val="22"/>
                <w:color w:val="auto"/>
              </w:rPr>
              <w:t>— $</w:t>
            </w:r>
          </w:p>
        </w:tc>
        <w:tc>
          <w:tcPr>
            <w:tcW w:w="1780" w:type="dxa"/>
            <w:vAlign w:val="bottom"/>
            <w:gridSpan w:val="3"/>
          </w:tcPr>
          <w:p>
            <w:pPr>
              <w:ind w:left="880"/>
              <w:spacing w:after="0" w:line="249" w:lineRule="exact"/>
              <w:rPr>
                <w:sz w:val="20"/>
                <w:szCs w:val="20"/>
                <w:color w:val="auto"/>
              </w:rPr>
            </w:pPr>
            <w:r>
              <w:rPr>
                <w:rFonts w:ascii="Times New Roman" w:cs="Times New Roman" w:eastAsia="Times New Roman" w:hAnsi="Times New Roman"/>
                <w:sz w:val="22"/>
                <w:szCs w:val="22"/>
                <w:color w:val="auto"/>
              </w:rPr>
              <w:t>— $</w:t>
            </w: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1,010,120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Common Stock</w:t>
            </w: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1,195,289</w:t>
            </w:r>
          </w:p>
        </w:tc>
        <w:tc>
          <w:tcPr>
            <w:tcW w:w="280" w:type="dxa"/>
            <w:vAlign w:val="bottom"/>
          </w:tcPr>
          <w:p>
            <w:pPr>
              <w:spacing w:after="0"/>
              <w:rPr>
                <w:sz w:val="24"/>
                <w:szCs w:val="24"/>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w:t>
            </w: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1,195,289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 in fair value hierarchy</w:t>
            </w:r>
          </w:p>
        </w:tc>
        <w:tc>
          <w:tcPr>
            <w:tcW w:w="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2,205,409</w:t>
            </w:r>
          </w:p>
        </w:tc>
        <w:tc>
          <w:tcPr>
            <w:tcW w:w="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 $</w:t>
            </w:r>
          </w:p>
        </w:tc>
        <w:tc>
          <w:tcPr>
            <w:tcW w:w="1780" w:type="dxa"/>
            <w:vAlign w:val="bottom"/>
            <w:tcBorders>
              <w:top w:val="single" w:sz="8" w:color="auto"/>
              <w:bottom w:val="single" w:sz="8" w:color="auto"/>
            </w:tcBorders>
            <w:gridSpan w:val="3"/>
          </w:tcPr>
          <w:p>
            <w:pPr>
              <w:ind w:left="880"/>
              <w:spacing w:after="0"/>
              <w:rPr>
                <w:sz w:val="20"/>
                <w:szCs w:val="20"/>
                <w:color w:val="auto"/>
              </w:rPr>
            </w:pPr>
            <w:r>
              <w:rPr>
                <w:rFonts w:ascii="Times New Roman" w:cs="Times New Roman" w:eastAsia="Times New Roman" w:hAnsi="Times New Roman"/>
                <w:sz w:val="22"/>
                <w:szCs w:val="22"/>
                <w:color w:val="auto"/>
              </w:rPr>
              <w:t>— $</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2,205,409</w:t>
            </w:r>
          </w:p>
        </w:tc>
        <w:tc>
          <w:tcPr>
            <w:tcW w:w="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Investments measured at net asset value*</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Common/Collective Trusts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3,761,427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6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5,966,836</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60"/>
        <w:spacing w:after="0" w:line="224" w:lineRule="auto"/>
        <w:rPr>
          <w:sz w:val="20"/>
          <w:szCs w:val="20"/>
          <w:color w:val="auto"/>
        </w:rPr>
      </w:pPr>
      <w:r>
        <w:rPr>
          <w:rFonts w:ascii="Times New Roman" w:cs="Times New Roman" w:eastAsia="Times New Roman" w:hAnsi="Times New Roman"/>
          <w:sz w:val="14"/>
          <w:szCs w:val="14"/>
          <w:i w:val="1"/>
          <w:iCs w:val="1"/>
          <w:color w:val="auto"/>
        </w:rPr>
        <w:t>*In accordance with FASB ASC Subtopic 820-10, “Fair Value Measurement – Overall”, certain investments that are measured at fair value using the net asset value per share (or its equivalent) practical expedient have not been classified in the fair value hierarchy. The fair value amounts presented in the tables are intended to permit reconciliation of the fair value hierarchy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amounts presented in the Statements of Net Assets Available for Benefits.</w:t>
      </w:r>
    </w:p>
    <w:p>
      <w:pPr>
        <w:sectPr>
          <w:pgSz w:w="11900" w:h="16838" w:orient="portrait"/>
          <w:cols w:equalWidth="0" w:num="1">
            <w:col w:w="11200"/>
          </w:cols>
          <w:pgMar w:left="320" w:top="1121" w:right="37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type w:val="continuous"/>
        </w:sectPr>
      </w:pPr>
    </w:p>
    <w:bookmarkStart w:id="12" w:name="page13"/>
    <w:bookmarkEnd w:id="12"/>
    <w:p>
      <w:pPr>
        <w:ind w:right="480"/>
        <w:spacing w:after="0" w:line="236" w:lineRule="auto"/>
        <w:rPr>
          <w:sz w:val="20"/>
          <w:szCs w:val="20"/>
          <w:color w:val="auto"/>
        </w:rPr>
      </w:pPr>
      <w:r>
        <w:rPr>
          <w:rFonts w:ascii="Times New Roman" w:cs="Times New Roman" w:eastAsia="Times New Roman" w:hAnsi="Times New Roman"/>
          <w:sz w:val="22"/>
          <w:szCs w:val="22"/>
          <w:color w:val="auto"/>
        </w:rPr>
        <w:t>The CCTs held by the Plan are the Vanguard Retirement Trusts, as well as BlackRock, Fidelity, Geode Capital Management, PIMCO and State Street Institutional Trusts.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5--Employee Stock Ownership Plan</w:t>
      </w:r>
    </w:p>
    <w:p>
      <w:pPr>
        <w:spacing w:after="0" w:line="210"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1"/>
          <w:szCs w:val="21"/>
          <w:color w:val="auto"/>
        </w:rPr>
        <w:t>All ConocoPhillips Stock held by the Plan is considered part of the ESOP. This includes the ConocoPhillips Stock Fund and the ConocoPhillips Leveraged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The ConocoPhillips Stock Fund contains shares of ConocoPhillips Stock purchased with active employee contributions, company contributions, dividends reinvested in participant accounts, and shares allocated to participant accounts as a result of allocations other than those purchased with the proceeds of acquisition loans. The ConocoPhillips Leveraged Stock Fund primarily contains shares of ConocoPhillips Stock that were purchased with the proceeds of acquisition loans and allocated to participant accounts. Participants may direct that these contributions be exchanged from the ConocoPhillips Stock Fund and the ConocoPhillips Leveraged Stock Fund into other investment funds at any time.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6--Tax Status</w:t>
      </w:r>
    </w:p>
    <w:p>
      <w:pPr>
        <w:spacing w:after="0" w:line="2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The Plan received a determination letter from the Internal Revenue Service (IRS) dated June 18, 2024, stating that the Plan is qualified under Section 401(a) of the Internal Revenue Code (the Code) and, therefore, the related trust is exempt from taxation. Subsequent to the receipt of the determination letter, the Plan was further amended. Once qualified, the Plan is required to operate in conformity with the Code to maintain its qualification. The plan administrator believes the Plan, as amended and restated, is being operated in compliance with the applicable requirements of the Code and, therefore, believes the Plan is qualified and the related trust is tax exempt.</w:t>
      </w:r>
    </w:p>
    <w:p>
      <w:pPr>
        <w:spacing w:after="0" w:line="179"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2"/>
          <w:szCs w:val="22"/>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Committee has analyzed the tax positions taken by the Plan and has concluded that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7--Related Party and Party-in-Interest Transactions</w:t>
      </w:r>
    </w:p>
    <w:p>
      <w:pPr>
        <w:spacing w:after="0" w:line="21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Certain of the Plan’s assets are invested in ConocoPhillips Stock. Because ConocoPhillips is the ultimate parent of the Company, transactions involving ConocoPhillips Stock qualify as party-in-interest transactions. These types of transactions are exempt from the prohibited transaction rules.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8--Plan Termination</w:t>
      </w:r>
    </w:p>
    <w:p>
      <w:pPr>
        <w:spacing w:after="0" w:line="210"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2"/>
          <w:szCs w:val="22"/>
          <w:color w:val="auto"/>
        </w:rPr>
        <w:t>In the event of termination of the Plan, participants and beneficiaries of deceased participants would be vested with respect to, and would receive, within a reasonable time, any funds in the participants’ accounts as of the date of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66"/>
        </w:trPr>
        <w:tc>
          <w:tcPr>
            <w:tcW w:w="2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Schedule H, Line 4i--</w:t>
            </w:r>
          </w:p>
        </w:tc>
        <w:tc>
          <w:tcPr>
            <w:tcW w:w="15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6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2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ConocoPhillips Savings Plan</w:t>
            </w:r>
          </w:p>
        </w:tc>
        <w:tc>
          <w:tcPr>
            <w:tcW w:w="0" w:type="dxa"/>
            <w:vAlign w:val="bottom"/>
          </w:tcPr>
          <w:p>
            <w:pPr>
              <w:spacing w:after="0"/>
              <w:rPr>
                <w:sz w:val="1"/>
                <w:szCs w:val="1"/>
                <w:color w:val="auto"/>
              </w:rPr>
            </w:pPr>
          </w:p>
        </w:tc>
      </w:tr>
      <w:tr>
        <w:trPr>
          <w:trHeight w:val="286"/>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Schedule of Assets (Held at End of Year)</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EIN 73-0400345, Plan 022</w:t>
            </w:r>
          </w:p>
        </w:tc>
        <w:tc>
          <w:tcPr>
            <w:tcW w:w="0" w:type="dxa"/>
            <w:vAlign w:val="bottom"/>
          </w:tcPr>
          <w:p>
            <w:pPr>
              <w:spacing w:after="0"/>
              <w:rPr>
                <w:sz w:val="1"/>
                <w:szCs w:val="1"/>
                <w:color w:val="auto"/>
              </w:rPr>
            </w:pPr>
          </w:p>
        </w:tc>
      </w:tr>
      <w:tr>
        <w:trPr>
          <w:trHeight w:val="62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At December 31, 2025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Thousands of Dollars</w:t>
            </w:r>
          </w:p>
        </w:tc>
        <w:tc>
          <w:tcPr>
            <w:tcW w:w="0" w:type="dxa"/>
            <w:vAlign w:val="bottom"/>
          </w:tcPr>
          <w:p>
            <w:pPr>
              <w:spacing w:after="0"/>
              <w:rPr>
                <w:sz w:val="1"/>
                <w:szCs w:val="1"/>
                <w:color w:val="auto"/>
              </w:rPr>
            </w:pPr>
          </w:p>
        </w:tc>
      </w:tr>
      <w:tr>
        <w:trPr>
          <w:trHeight w:val="275"/>
        </w:trPr>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0" w:type="dxa"/>
            <w:vAlign w:val="bottom"/>
            <w:tcBorders>
              <w:bottom w:val="single" w:sz="8" w:color="auto"/>
            </w:tcBorders>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740" w:type="dxa"/>
            <w:vAlign w:val="bottom"/>
            <w:gridSpan w:val="2"/>
          </w:tcPr>
          <w:p>
            <w:pPr>
              <w:ind w:left="1080"/>
              <w:spacing w:after="0" w:line="251" w:lineRule="exact"/>
              <w:rPr>
                <w:sz w:val="20"/>
                <w:szCs w:val="20"/>
                <w:color w:val="auto"/>
              </w:rPr>
            </w:pPr>
            <w:r>
              <w:rPr>
                <w:rFonts w:ascii="Times New Roman" w:cs="Times New Roman" w:eastAsia="Times New Roman" w:hAnsi="Times New Roman"/>
                <w:sz w:val="22"/>
                <w:szCs w:val="22"/>
                <w:color w:val="auto"/>
              </w:rPr>
              <w:t>(a)(b)</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2"/>
          </w:tcPr>
          <w:p>
            <w:pPr>
              <w:ind w:left="1680"/>
              <w:spacing w:after="0" w:line="251" w:lineRule="exact"/>
              <w:rPr>
                <w:sz w:val="20"/>
                <w:szCs w:val="20"/>
                <w:color w:val="auto"/>
              </w:rPr>
            </w:pPr>
            <w:r>
              <w:rPr>
                <w:rFonts w:ascii="Times New Roman" w:cs="Times New Roman" w:eastAsia="Times New Roman" w:hAnsi="Times New Roman"/>
                <w:sz w:val="22"/>
                <w:szCs w:val="22"/>
                <w:color w:val="auto"/>
              </w:rPr>
              <w:t>(c)</w:t>
            </w:r>
          </w:p>
        </w:tc>
        <w:tc>
          <w:tcPr>
            <w:tcW w:w="1500" w:type="dxa"/>
            <w:vAlign w:val="bottom"/>
            <w:gridSpan w:val="2"/>
          </w:tcPr>
          <w:p>
            <w:pPr>
              <w:ind w:left="580"/>
              <w:spacing w:after="0" w:line="251" w:lineRule="exact"/>
              <w:rPr>
                <w:sz w:val="20"/>
                <w:szCs w:val="20"/>
                <w:color w:val="auto"/>
              </w:rPr>
            </w:pPr>
            <w:r>
              <w:rPr>
                <w:rFonts w:ascii="Times New Roman" w:cs="Times New Roman" w:eastAsia="Times New Roman" w:hAnsi="Times New Roman"/>
                <w:sz w:val="22"/>
                <w:szCs w:val="22"/>
                <w:color w:val="auto"/>
              </w:rPr>
              <w:t>(d)</w:t>
            </w:r>
          </w:p>
        </w:tc>
        <w:tc>
          <w:tcPr>
            <w:tcW w:w="440" w:type="dxa"/>
            <w:vAlign w:val="bottom"/>
          </w:tcPr>
          <w:p>
            <w:pPr>
              <w:spacing w:after="0"/>
              <w:rPr>
                <w:sz w:val="21"/>
                <w:szCs w:val="21"/>
                <w:color w:val="auto"/>
              </w:rPr>
            </w:pPr>
          </w:p>
        </w:tc>
        <w:tc>
          <w:tcPr>
            <w:tcW w:w="1260" w:type="dxa"/>
            <w:vAlign w:val="bottom"/>
          </w:tcPr>
          <w:p>
            <w:pPr>
              <w:jc w:val="right"/>
              <w:ind w:right="612"/>
              <w:spacing w:after="0" w:line="251" w:lineRule="exact"/>
              <w:rPr>
                <w:sz w:val="20"/>
                <w:szCs w:val="20"/>
                <w:color w:val="auto"/>
              </w:rPr>
            </w:pPr>
            <w:r>
              <w:rPr>
                <w:rFonts w:ascii="Times New Roman" w:cs="Times New Roman" w:eastAsia="Times New Roman" w:hAnsi="Times New Roman"/>
                <w:sz w:val="22"/>
                <w:szCs w:val="22"/>
                <w:color w:val="auto"/>
              </w:rPr>
              <w:t>(e)</w:t>
            </w:r>
          </w:p>
        </w:tc>
        <w:tc>
          <w:tcPr>
            <w:tcW w:w="0" w:type="dxa"/>
            <w:vAlign w:val="bottom"/>
          </w:tcPr>
          <w:p>
            <w:pPr>
              <w:spacing w:after="0"/>
              <w:rPr>
                <w:sz w:val="1"/>
                <w:szCs w:val="1"/>
                <w:color w:val="auto"/>
              </w:rPr>
            </w:pPr>
          </w:p>
        </w:tc>
      </w:tr>
      <w:tr>
        <w:trPr>
          <w:trHeight w:val="216"/>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Identity of issue borrower,</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Number of</w:t>
            </w:r>
          </w:p>
        </w:tc>
        <w:tc>
          <w:tcPr>
            <w:tcW w:w="368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2"/>
                <w:szCs w:val="22"/>
                <w:color w:val="auto"/>
              </w:rPr>
              <w:t>Description of investment including</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36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maturity date, rate of interest, collateral,</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Historical Cost</w:t>
            </w:r>
          </w:p>
        </w:tc>
        <w:tc>
          <w:tcPr>
            <w:tcW w:w="80" w:type="dxa"/>
            <w:vAlign w:val="bottom"/>
            <w:vMerge w:val="restart"/>
          </w:tcPr>
          <w:p>
            <w:pPr>
              <w:spacing w:after="0"/>
              <w:rPr>
                <w:sz w:val="18"/>
                <w:szCs w:val="18"/>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Current Value</w:t>
            </w:r>
          </w:p>
        </w:tc>
        <w:tc>
          <w:tcPr>
            <w:tcW w:w="0" w:type="dxa"/>
            <w:vAlign w:val="bottom"/>
          </w:tcPr>
          <w:p>
            <w:pPr>
              <w:spacing w:after="0"/>
              <w:rPr>
                <w:sz w:val="1"/>
                <w:szCs w:val="1"/>
                <w:color w:val="auto"/>
              </w:rPr>
            </w:pPr>
          </w:p>
        </w:tc>
      </w:tr>
      <w:tr>
        <w:trPr>
          <w:trHeight w:val="28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lessor or similar party</w:t>
            </w:r>
          </w:p>
        </w:tc>
        <w:tc>
          <w:tcPr>
            <w:tcW w:w="80" w:type="dxa"/>
            <w:vAlign w:val="bottom"/>
          </w:tcPr>
          <w:p>
            <w:pPr>
              <w:spacing w:after="0"/>
              <w:rPr>
                <w:sz w:val="24"/>
                <w:szCs w:val="24"/>
                <w:color w:val="auto"/>
              </w:rPr>
            </w:pPr>
          </w:p>
        </w:tc>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shares/units</w:t>
            </w:r>
          </w:p>
        </w:tc>
        <w:tc>
          <w:tcPr>
            <w:tcW w:w="10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par or maturity value</w:t>
            </w:r>
          </w:p>
        </w:tc>
        <w:tc>
          <w:tcPr>
            <w:tcW w:w="80" w:type="dxa"/>
            <w:vAlign w:val="bottom"/>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70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Common Stock</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*ConocoPhillips</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1,083,503</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ConocoPhillips Leveraged Stock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101,428</w:t>
            </w:r>
          </w:p>
        </w:tc>
        <w:tc>
          <w:tcPr>
            <w:tcW w:w="0" w:type="dxa"/>
            <w:vAlign w:val="bottom"/>
          </w:tcPr>
          <w:p>
            <w:pPr>
              <w:spacing w:after="0"/>
              <w:rPr>
                <w:sz w:val="1"/>
                <w:szCs w:val="1"/>
                <w:color w:val="auto"/>
              </w:rPr>
            </w:pPr>
          </w:p>
        </w:tc>
      </w:tr>
      <w:tr>
        <w:trPr>
          <w:trHeight w:val="52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*ConocoPhillips</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7,712,245</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ConocoPhillips Stock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721,966</w:t>
            </w:r>
          </w:p>
        </w:tc>
        <w:tc>
          <w:tcPr>
            <w:tcW w:w="0" w:type="dxa"/>
            <w:vAlign w:val="bottom"/>
          </w:tcPr>
          <w:p>
            <w:pPr>
              <w:spacing w:after="0"/>
              <w:rPr>
                <w:sz w:val="1"/>
                <w:szCs w:val="1"/>
                <w:color w:val="auto"/>
              </w:rPr>
            </w:pPr>
          </w:p>
        </w:tc>
      </w:tr>
      <w:tr>
        <w:trPr>
          <w:trHeight w:val="52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Phillips 66</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544,181</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Phillips 66 Leveraged Stock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70,223</w:t>
            </w:r>
          </w:p>
        </w:tc>
        <w:tc>
          <w:tcPr>
            <w:tcW w:w="0" w:type="dxa"/>
            <w:vAlign w:val="bottom"/>
          </w:tcPr>
          <w:p>
            <w:pPr>
              <w:spacing w:after="0"/>
              <w:rPr>
                <w:sz w:val="1"/>
                <w:szCs w:val="1"/>
                <w:color w:val="auto"/>
              </w:rPr>
            </w:pPr>
          </w:p>
        </w:tc>
      </w:tr>
      <w:tr>
        <w:trPr>
          <w:trHeight w:val="54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Phillips 66</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1,382,745</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Phillips 66 Stock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178,431</w:t>
            </w:r>
          </w:p>
        </w:tc>
        <w:tc>
          <w:tcPr>
            <w:tcW w:w="0" w:type="dxa"/>
            <w:vAlign w:val="bottom"/>
          </w:tcPr>
          <w:p>
            <w:pPr>
              <w:spacing w:after="0"/>
              <w:rPr>
                <w:sz w:val="1"/>
                <w:szCs w:val="1"/>
                <w:color w:val="auto"/>
              </w:rPr>
            </w:pPr>
          </w:p>
        </w:tc>
      </w:tr>
      <w:tr>
        <w:trPr>
          <w:trHeight w:val="265"/>
        </w:trPr>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Common Stock Subtotal</w:t>
            </w: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1,072,048</w:t>
            </w:r>
          </w:p>
        </w:tc>
        <w:tc>
          <w:tcPr>
            <w:tcW w:w="0" w:type="dxa"/>
            <w:vAlign w:val="bottom"/>
          </w:tcPr>
          <w:p>
            <w:pPr>
              <w:spacing w:after="0"/>
              <w:rPr>
                <w:sz w:val="1"/>
                <w:szCs w:val="1"/>
                <w:color w:val="auto"/>
              </w:rPr>
            </w:pPr>
          </w:p>
        </w:tc>
      </w:tr>
      <w:tr>
        <w:trPr>
          <w:trHeight w:val="722"/>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Mutual Funds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2"/>
                <w:szCs w:val="22"/>
                <w:color w:val="auto"/>
              </w:rPr>
              <w:t>The Vanguard</w:t>
            </w:r>
          </w:p>
        </w:tc>
        <w:tc>
          <w:tcPr>
            <w:tcW w:w="15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2,799,973</w:t>
            </w:r>
          </w:p>
        </w:tc>
        <w:tc>
          <w:tcPr>
            <w:tcW w:w="100" w:type="dxa"/>
            <w:vAlign w:val="bottom"/>
          </w:tcPr>
          <w:p>
            <w:pPr>
              <w:spacing w:after="0"/>
              <w:rPr>
                <w:sz w:val="18"/>
                <w:szCs w:val="18"/>
                <w:color w:val="auto"/>
              </w:rPr>
            </w:pPr>
          </w:p>
        </w:tc>
        <w:tc>
          <w:tcPr>
            <w:tcW w:w="368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2"/>
                <w:szCs w:val="22"/>
                <w:color w:val="auto"/>
              </w:rPr>
              <w:t>Vanguard International Value Fund</w:t>
            </w:r>
          </w:p>
        </w:tc>
        <w:tc>
          <w:tcPr>
            <w:tcW w:w="14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8"/>
                <w:szCs w:val="18"/>
                <w:color w:val="auto"/>
              </w:rPr>
            </w:pPr>
          </w:p>
        </w:tc>
        <w:tc>
          <w:tcPr>
            <w:tcW w:w="4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115,415</w:t>
            </w:r>
          </w:p>
        </w:tc>
        <w:tc>
          <w:tcPr>
            <w:tcW w:w="0" w:type="dxa"/>
            <w:vAlign w:val="bottom"/>
          </w:tcPr>
          <w:p>
            <w:pPr>
              <w:spacing w:after="0"/>
              <w:rPr>
                <w:sz w:val="1"/>
                <w:szCs w:val="1"/>
                <w:color w:val="auto"/>
              </w:rPr>
            </w:pPr>
          </w:p>
        </w:tc>
      </w:tr>
      <w:tr>
        <w:trPr>
          <w:trHeight w:val="282"/>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Group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Investor Shares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1,297,944</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Vanguard International Growth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147,953</w:t>
            </w:r>
          </w:p>
        </w:tc>
        <w:tc>
          <w:tcPr>
            <w:tcW w:w="0" w:type="dxa"/>
            <w:vAlign w:val="bottom"/>
          </w:tcPr>
          <w:p>
            <w:pPr>
              <w:spacing w:after="0"/>
              <w:rPr>
                <w:sz w:val="1"/>
                <w:szCs w:val="1"/>
                <w:color w:val="auto"/>
              </w:rPr>
            </w:pPr>
          </w:p>
        </w:tc>
      </w:tr>
      <w:tr>
        <w:trPr>
          <w:trHeight w:val="28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Admiral Shares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248,641,139</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Vanguard Treasury Money Market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248,641</w:t>
            </w:r>
          </w:p>
        </w:tc>
        <w:tc>
          <w:tcPr>
            <w:tcW w:w="0" w:type="dxa"/>
            <w:vAlign w:val="bottom"/>
          </w:tcPr>
          <w:p>
            <w:pPr>
              <w:spacing w:after="0"/>
              <w:rPr>
                <w:sz w:val="1"/>
                <w:szCs w:val="1"/>
                <w:color w:val="auto"/>
              </w:rPr>
            </w:pPr>
          </w:p>
        </w:tc>
      </w:tr>
      <w:tr>
        <w:trPr>
          <w:trHeight w:val="461"/>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3,082,943</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Vanguard Windsor II Fund Admiral</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257,117</w:t>
            </w:r>
          </w:p>
        </w:tc>
        <w:tc>
          <w:tcPr>
            <w:tcW w:w="0" w:type="dxa"/>
            <w:vAlign w:val="bottom"/>
          </w:tcPr>
          <w:p>
            <w:pPr>
              <w:spacing w:after="0"/>
              <w:rPr>
                <w:sz w:val="1"/>
                <w:szCs w:val="1"/>
                <w:color w:val="auto"/>
              </w:rPr>
            </w:pPr>
          </w:p>
        </w:tc>
      </w:tr>
      <w:tr>
        <w:trPr>
          <w:trHeight w:val="28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415,752</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9"/>
              </w:rPr>
              <w:t>Vanguard Total International Bond Index</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12,078</w:t>
            </w:r>
          </w:p>
        </w:tc>
        <w:tc>
          <w:tcPr>
            <w:tcW w:w="0" w:type="dxa"/>
            <w:vAlign w:val="bottom"/>
          </w:tcPr>
          <w:p>
            <w:pPr>
              <w:spacing w:after="0"/>
              <w:rPr>
                <w:sz w:val="1"/>
                <w:szCs w:val="1"/>
                <w:color w:val="auto"/>
              </w:rPr>
            </w:pPr>
          </w:p>
        </w:tc>
      </w:tr>
      <w:tr>
        <w:trPr>
          <w:trHeight w:val="28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Fund Institutional Shares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Mutual Funds Subtotal</w:t>
            </w: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781,204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74"/>
        </w:trPr>
        <w:tc>
          <w:tcPr>
            <w:tcW w:w="2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Common/Collective Trusts</w:t>
            </w:r>
          </w:p>
        </w:tc>
        <w:tc>
          <w:tcPr>
            <w:tcW w:w="13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2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*Fidelity</w:t>
            </w:r>
          </w:p>
        </w:tc>
        <w:tc>
          <w:tcPr>
            <w:tcW w:w="13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6,913,784</w:t>
            </w:r>
          </w:p>
        </w:tc>
        <w:tc>
          <w:tcPr>
            <w:tcW w:w="4520" w:type="dxa"/>
            <w:vAlign w:val="bottom"/>
          </w:tcPr>
          <w:p>
            <w:pPr>
              <w:ind w:left="380"/>
              <w:spacing w:after="0" w:line="217" w:lineRule="exact"/>
              <w:rPr>
                <w:sz w:val="20"/>
                <w:szCs w:val="20"/>
                <w:color w:val="auto"/>
              </w:rPr>
            </w:pPr>
            <w:r>
              <w:rPr>
                <w:rFonts w:ascii="Times New Roman" w:cs="Times New Roman" w:eastAsia="Times New Roman" w:hAnsi="Times New Roman"/>
                <w:sz w:val="22"/>
                <w:szCs w:val="22"/>
                <w:color w:val="auto"/>
              </w:rPr>
              <w:t>Fidelity Growth Company Commingled</w:t>
            </w:r>
          </w:p>
        </w:tc>
        <w:tc>
          <w:tcPr>
            <w:tcW w:w="9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line="21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615,534</w:t>
            </w:r>
          </w:p>
        </w:tc>
      </w:tr>
      <w:tr>
        <w:trPr>
          <w:trHeight w:val="282"/>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Pool Class F</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4"/>
        </w:trPr>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Geode Capital Management</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1,254,113</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Geode Capital Management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380,648</w:t>
            </w:r>
          </w:p>
        </w:tc>
      </w:tr>
      <w:tr>
        <w:trPr>
          <w:trHeight w:val="282"/>
        </w:trPr>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Trust</w:t>
            </w:r>
          </w:p>
        </w:tc>
        <w:tc>
          <w:tcPr>
            <w:tcW w:w="136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Spartan Total Market Index Pool</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4"/>
        </w:trPr>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Vanguard Group</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227,205</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Income &amp;</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5,832</w:t>
            </w:r>
          </w:p>
        </w:tc>
      </w:tr>
      <w:tr>
        <w:trPr>
          <w:trHeight w:val="282"/>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Growth Trust Plus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40"/>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1,644,623</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2020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136,060</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1,966,830</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2025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183,584</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2,603,246</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2030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267,640</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2,315,669</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2035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260,953</w:t>
            </w:r>
          </w:p>
        </w:tc>
      </w:tr>
      <w:tr>
        <w:trPr>
          <w:trHeight w:val="526"/>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2,149,726</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2040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261,729</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2,402,363</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2045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308,848</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2,241,576</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2050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296,202</w:t>
            </w:r>
          </w:p>
        </w:tc>
      </w:tr>
      <w:tr>
        <w:trPr>
          <w:trHeight w:val="526"/>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1,538,096</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2055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202,982</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728,887</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2060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57,946</w:t>
            </w:r>
          </w:p>
        </w:tc>
      </w:tr>
      <w:tr>
        <w:trPr>
          <w:trHeight w:val="526"/>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742,931</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2065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36,463</w:t>
            </w:r>
          </w:p>
        </w:tc>
      </w:tr>
      <w:tr>
        <w:trPr>
          <w:trHeight w:val="527"/>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303,468</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2070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9,025</w:t>
            </w:r>
          </w:p>
        </w:tc>
      </w:tr>
      <w:tr>
        <w:trPr>
          <w:trHeight w:val="474"/>
        </w:trPr>
        <w:tc>
          <w:tcPr>
            <w:tcW w:w="264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2,186,214</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Vanguard Target Retirement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136,442</w:t>
            </w:r>
          </w:p>
        </w:tc>
      </w:tr>
      <w:tr>
        <w:trPr>
          <w:trHeight w:val="282"/>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Trust</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26"/>
        </w:trPr>
        <w:tc>
          <w:tcPr>
            <w:tcW w:w="2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PIMCO</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9,383,681</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PIMCO Total Return Trust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149,201</w:t>
            </w:r>
          </w:p>
        </w:tc>
      </w:tr>
      <w:tr>
        <w:trPr>
          <w:trHeight w:val="878"/>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2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14</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90"/>
        </w:trPr>
        <w:tc>
          <w:tcPr>
            <w:tcW w:w="26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3"/>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State Street</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16,186,861</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State Street Global All Cap Equity Ex-</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300,541</w:t>
            </w:r>
          </w:p>
        </w:tc>
        <w:tc>
          <w:tcPr>
            <w:tcW w:w="20" w:type="dxa"/>
            <w:vAlign w:val="bottom"/>
          </w:tcPr>
          <w:p>
            <w:pPr>
              <w:spacing w:after="0"/>
              <w:rPr>
                <w:sz w:val="22"/>
                <w:szCs w:val="22"/>
                <w:color w:val="auto"/>
              </w:rPr>
            </w:pPr>
          </w:p>
        </w:tc>
      </w:tr>
      <w:tr>
        <w:trPr>
          <w:trHeight w:val="216"/>
        </w:trPr>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40" w:type="dxa"/>
            <w:vAlign w:val="bottom"/>
          </w:tcPr>
          <w:p>
            <w:pPr>
              <w:ind w:left="320"/>
              <w:spacing w:after="0" w:line="216" w:lineRule="exact"/>
              <w:rPr>
                <w:sz w:val="20"/>
                <w:szCs w:val="20"/>
                <w:color w:val="auto"/>
              </w:rPr>
            </w:pPr>
            <w:r>
              <w:rPr>
                <w:rFonts w:ascii="Times New Roman" w:cs="Times New Roman" w:eastAsia="Times New Roman" w:hAnsi="Times New Roman"/>
                <w:sz w:val="22"/>
                <w:szCs w:val="22"/>
                <w:color w:val="auto"/>
              </w:rPr>
              <w:t>U.S. Index Securities Lending Series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Fund Class II</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270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15,216,100</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State Street U.S. Bond Index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175,594</w:t>
            </w:r>
          </w:p>
        </w:tc>
        <w:tc>
          <w:tcPr>
            <w:tcW w:w="20" w:type="dxa"/>
            <w:vAlign w:val="bottom"/>
          </w:tcPr>
          <w:p>
            <w:pPr>
              <w:spacing w:after="0"/>
              <w:rPr>
                <w:sz w:val="24"/>
                <w:szCs w:val="24"/>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Lending Series Fund Class XIV</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BlackRock</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3,611,409</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BlackRock U.S. Treasury Inflation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46,497</w:t>
            </w:r>
          </w:p>
        </w:tc>
        <w:tc>
          <w:tcPr>
            <w:tcW w:w="20" w:type="dxa"/>
            <w:vAlign w:val="bottom"/>
          </w:tcPr>
          <w:p>
            <w:pPr>
              <w:spacing w:after="0"/>
              <w:rPr>
                <w:sz w:val="24"/>
                <w:szCs w:val="24"/>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Protected Securities Fund M</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6"/>
        </w:trPr>
        <w:tc>
          <w:tcPr>
            <w:tcW w:w="2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7,241,178</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BlackRock Equity Index Fund F</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1,058,562</w:t>
            </w:r>
          </w:p>
        </w:tc>
        <w:tc>
          <w:tcPr>
            <w:tcW w:w="20" w:type="dxa"/>
            <w:vAlign w:val="bottom"/>
          </w:tcPr>
          <w:p>
            <w:pPr>
              <w:spacing w:after="0"/>
              <w:rPr>
                <w:sz w:val="24"/>
                <w:szCs w:val="24"/>
                <w:color w:val="auto"/>
              </w:rPr>
            </w:pPr>
          </w:p>
        </w:tc>
      </w:tr>
      <w:tr>
        <w:trPr>
          <w:trHeight w:val="527"/>
        </w:trPr>
        <w:tc>
          <w:tcPr>
            <w:tcW w:w="2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2,140,755</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BlackRock Russell 2000 Index Fund F</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180,344</w:t>
            </w:r>
          </w:p>
        </w:tc>
        <w:tc>
          <w:tcPr>
            <w:tcW w:w="20" w:type="dxa"/>
            <w:vAlign w:val="bottom"/>
          </w:tcPr>
          <w:p>
            <w:pPr>
              <w:spacing w:after="0"/>
              <w:rPr>
                <w:sz w:val="24"/>
                <w:szCs w:val="24"/>
                <w:color w:val="auto"/>
              </w:rPr>
            </w:pPr>
          </w:p>
        </w:tc>
      </w:tr>
      <w:tr>
        <w:trPr>
          <w:trHeight w:val="474"/>
        </w:trPr>
        <w:tc>
          <w:tcPr>
            <w:tcW w:w="2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1,082,790</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BlackRock MidCap Equity Index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189,319</w:t>
            </w:r>
          </w:p>
        </w:tc>
        <w:tc>
          <w:tcPr>
            <w:tcW w:w="20" w:type="dxa"/>
            <w:vAlign w:val="bottom"/>
          </w:tcPr>
          <w:p>
            <w:pPr>
              <w:spacing w:after="0"/>
              <w:rPr>
                <w:sz w:val="24"/>
                <w:szCs w:val="24"/>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w:t>
            </w:r>
          </w:p>
        </w:tc>
        <w:tc>
          <w:tcPr>
            <w:tcW w:w="1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2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Common/Collective Trusts Subtotal</w:t>
            </w:r>
          </w:p>
        </w:tc>
        <w:tc>
          <w:tcPr>
            <w:tcW w:w="104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5,259,946</w:t>
            </w:r>
          </w:p>
        </w:tc>
        <w:tc>
          <w:tcPr>
            <w:tcW w:w="20" w:type="dxa"/>
            <w:vAlign w:val="bottom"/>
          </w:tcPr>
          <w:p>
            <w:pPr>
              <w:spacing w:after="0"/>
              <w:rPr>
                <w:sz w:val="23"/>
                <w:szCs w:val="23"/>
                <w:color w:val="auto"/>
              </w:rPr>
            </w:pPr>
          </w:p>
        </w:tc>
      </w:tr>
      <w:tr>
        <w:trPr>
          <w:trHeight w:val="453"/>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Synthetic Guaranteed</w:t>
            </w:r>
          </w:p>
        </w:tc>
        <w:tc>
          <w:tcPr>
            <w:tcW w:w="1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Investment Contracts</w:t>
            </w:r>
          </w:p>
        </w:tc>
        <w:tc>
          <w:tcPr>
            <w:tcW w:w="134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2"/>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Invesco Short Term Bond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254,528</w:t>
            </w: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Invesco Intermediate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55,551</w:t>
            </w: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Jennison Intermediate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53,661</w:t>
            </w: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PIMCO Core Fixed Income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28,524</w:t>
            </w:r>
          </w:p>
        </w:tc>
        <w:tc>
          <w:tcPr>
            <w:tcW w:w="20" w:type="dxa"/>
            <w:vAlign w:val="bottom"/>
          </w:tcPr>
          <w:p>
            <w:pPr>
              <w:spacing w:after="0"/>
              <w:rPr>
                <w:sz w:val="24"/>
                <w:szCs w:val="24"/>
                <w:color w:val="auto"/>
              </w:rPr>
            </w:pPr>
          </w:p>
        </w:tc>
      </w:tr>
      <w:tr>
        <w:trPr>
          <w:trHeight w:val="474"/>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Loomis Sayles Core Fixed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27,292</w:t>
            </w:r>
          </w:p>
        </w:tc>
        <w:tc>
          <w:tcPr>
            <w:tcW w:w="20" w:type="dxa"/>
            <w:vAlign w:val="bottom"/>
          </w:tcPr>
          <w:p>
            <w:pPr>
              <w:spacing w:after="0"/>
              <w:rPr>
                <w:sz w:val="24"/>
                <w:szCs w:val="24"/>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Fund</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Dodge &amp; Cox Core Fixed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27,191</w:t>
            </w:r>
          </w:p>
        </w:tc>
        <w:tc>
          <w:tcPr>
            <w:tcW w:w="20" w:type="dxa"/>
            <w:vAlign w:val="bottom"/>
          </w:tcPr>
          <w:p>
            <w:pPr>
              <w:spacing w:after="0"/>
              <w:rPr>
                <w:sz w:val="24"/>
                <w:szCs w:val="24"/>
                <w:color w:val="auto"/>
              </w:rPr>
            </w:pPr>
          </w:p>
        </w:tc>
      </w:tr>
      <w:tr>
        <w:trPr>
          <w:trHeight w:val="282"/>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Fund</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Loomis Sayles Intermediate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26,849</w:t>
            </w: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Invesco Core Fixed Income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26,747</w:t>
            </w:r>
          </w:p>
        </w:tc>
        <w:tc>
          <w:tcPr>
            <w:tcW w:w="20" w:type="dxa"/>
            <w:vAlign w:val="bottom"/>
          </w:tcPr>
          <w:p>
            <w:pPr>
              <w:spacing w:after="0"/>
              <w:rPr>
                <w:sz w:val="24"/>
                <w:szCs w:val="24"/>
                <w:color w:val="auto"/>
              </w:rPr>
            </w:pPr>
          </w:p>
        </w:tc>
      </w:tr>
      <w:tr>
        <w:trPr>
          <w:trHeight w:val="540"/>
        </w:trPr>
        <w:tc>
          <w:tcPr>
            <w:tcW w:w="2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Invesco</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IGT PIMCO Intermediate Fund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26,423</w:t>
            </w:r>
          </w:p>
        </w:tc>
        <w:tc>
          <w:tcPr>
            <w:tcW w:w="20" w:type="dxa"/>
            <w:vAlign w:val="bottom"/>
          </w:tcPr>
          <w:p>
            <w:pPr>
              <w:spacing w:after="0"/>
              <w:rPr>
                <w:sz w:val="24"/>
                <w:szCs w:val="24"/>
                <w:color w:val="auto"/>
              </w:rPr>
            </w:pPr>
          </w:p>
        </w:tc>
      </w:tr>
      <w:tr>
        <w:trPr>
          <w:trHeight w:val="878"/>
        </w:trPr>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15</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2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82"/>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Multiple Asset Wraps</w:t>
            </w:r>
          </w:p>
        </w:tc>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4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Insurance Wrapper</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29,366</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920" w:type="dxa"/>
            <w:vAlign w:val="bottom"/>
          </w:tcPr>
          <w:p>
            <w:pPr>
              <w:ind w:left="720"/>
              <w:spacing w:after="0" w:line="184" w:lineRule="exact"/>
              <w:rPr>
                <w:sz w:val="20"/>
                <w:szCs w:val="20"/>
                <w:color w:val="auto"/>
              </w:rPr>
            </w:pPr>
            <w:r>
              <w:rPr>
                <w:rFonts w:ascii="Times New Roman" w:cs="Times New Roman" w:eastAsia="Times New Roman" w:hAnsi="Times New Roman"/>
                <w:sz w:val="21"/>
                <w:szCs w:val="21"/>
                <w:b w:val="1"/>
                <w:bCs w:val="1"/>
                <w:color w:val="auto"/>
              </w:rPr>
              <w:t>Synthetic Guaranteed Investment</w:t>
            </w:r>
          </w:p>
        </w:tc>
        <w:tc>
          <w:tcPr>
            <w:tcW w:w="980" w:type="dxa"/>
            <w:vAlign w:val="bottom"/>
          </w:tcPr>
          <w:p>
            <w:pPr>
              <w:spacing w:after="0"/>
              <w:rPr>
                <w:sz w:val="16"/>
                <w:szCs w:val="16"/>
                <w:color w:val="auto"/>
              </w:rPr>
            </w:pPr>
          </w:p>
        </w:tc>
        <w:tc>
          <w:tcPr>
            <w:tcW w:w="4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556,132</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9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b w:val="1"/>
                <w:bCs w:val="1"/>
                <w:color w:val="auto"/>
              </w:rPr>
              <w:t>Contracts Subtotal</w:t>
            </w:r>
          </w:p>
        </w:tc>
        <w:tc>
          <w:tcPr>
            <w:tcW w:w="9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6"/>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STIF</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*Fidelity Management Trust</w:t>
            </w:r>
          </w:p>
        </w:tc>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4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Short-term investment fund, 3.67%</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9,956</w:t>
            </w:r>
          </w:p>
        </w:tc>
        <w:tc>
          <w:tcPr>
            <w:tcW w:w="0" w:type="dxa"/>
            <w:vAlign w:val="bottom"/>
          </w:tcPr>
          <w:p>
            <w:pPr>
              <w:spacing w:after="0"/>
              <w:rPr>
                <w:sz w:val="1"/>
                <w:szCs w:val="1"/>
                <w:color w:val="auto"/>
              </w:rPr>
            </w:pPr>
          </w:p>
        </w:tc>
      </w:tr>
      <w:tr>
        <w:trPr>
          <w:trHeight w:val="528"/>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Brokerage Accounts</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*Brokerage Link</w:t>
            </w:r>
          </w:p>
        </w:tc>
        <w:tc>
          <w:tcPr>
            <w:tcW w:w="100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w:t>
            </w:r>
          </w:p>
        </w:tc>
        <w:tc>
          <w:tcPr>
            <w:tcW w:w="4920" w:type="dxa"/>
            <w:vAlign w:val="bottom"/>
          </w:tcPr>
          <w:p>
            <w:pPr>
              <w:ind w:left="720"/>
              <w:spacing w:after="0" w:line="217" w:lineRule="exact"/>
              <w:rPr>
                <w:sz w:val="20"/>
                <w:szCs w:val="20"/>
                <w:color w:val="auto"/>
              </w:rPr>
            </w:pPr>
            <w:r>
              <w:rPr>
                <w:rFonts w:ascii="Times New Roman" w:cs="Times New Roman" w:eastAsia="Times New Roman" w:hAnsi="Times New Roman"/>
                <w:sz w:val="22"/>
                <w:szCs w:val="22"/>
                <w:color w:val="auto"/>
              </w:rPr>
              <w:t>Brokerage Link Self-Directed Brokerage</w:t>
            </w:r>
          </w:p>
        </w:tc>
        <w:tc>
          <w:tcPr>
            <w:tcW w:w="9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line="217"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46,576</w:t>
            </w:r>
          </w:p>
        </w:tc>
        <w:tc>
          <w:tcPr>
            <w:tcW w:w="0" w:type="dxa"/>
            <w:vAlign w:val="bottom"/>
          </w:tcPr>
          <w:p>
            <w:pPr>
              <w:spacing w:after="0"/>
              <w:rPr>
                <w:sz w:val="1"/>
                <w:szCs w:val="1"/>
                <w:color w:val="auto"/>
              </w:rPr>
            </w:pPr>
          </w:p>
        </w:tc>
      </w:tr>
      <w:tr>
        <w:trPr>
          <w:trHeight w:val="282"/>
        </w:trPr>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Accounts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Loans</w:t>
            </w: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*Participants</w:t>
            </w:r>
          </w:p>
        </w:tc>
        <w:tc>
          <w:tcPr>
            <w:tcW w:w="1000" w:type="dxa"/>
            <w:vAlign w:val="bottom"/>
          </w:tcPr>
          <w:p>
            <w:pPr>
              <w:spacing w:after="0"/>
              <w:rPr>
                <w:sz w:val="18"/>
                <w:szCs w:val="18"/>
                <w:color w:val="auto"/>
              </w:rPr>
            </w:pPr>
          </w:p>
        </w:tc>
        <w:tc>
          <w:tcPr>
            <w:tcW w:w="4920" w:type="dxa"/>
            <w:vAlign w:val="bottom"/>
          </w:tcPr>
          <w:p>
            <w:pPr>
              <w:ind w:left="720"/>
              <w:spacing w:after="0" w:line="217" w:lineRule="exact"/>
              <w:rPr>
                <w:sz w:val="20"/>
                <w:szCs w:val="20"/>
                <w:color w:val="auto"/>
              </w:rPr>
            </w:pPr>
            <w:r>
              <w:rPr>
                <w:rFonts w:ascii="Times New Roman" w:cs="Times New Roman" w:eastAsia="Times New Roman" w:hAnsi="Times New Roman"/>
                <w:sz w:val="22"/>
                <w:szCs w:val="22"/>
                <w:color w:val="auto"/>
              </w:rPr>
              <w:t>Loans to Plan participants,</w:t>
            </w:r>
          </w:p>
        </w:tc>
        <w:tc>
          <w:tcPr>
            <w:tcW w:w="9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ind w:right="192"/>
              <w:spacing w:after="0" w:line="217"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35,265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tcPr>
          <w:p>
            <w:pPr>
              <w:ind w:left="1060"/>
              <w:spacing w:after="0" w:line="216" w:lineRule="exact"/>
              <w:rPr>
                <w:sz w:val="20"/>
                <w:szCs w:val="20"/>
                <w:color w:val="auto"/>
              </w:rPr>
            </w:pPr>
            <w:r>
              <w:rPr>
                <w:rFonts w:ascii="Times New Roman" w:cs="Times New Roman" w:eastAsia="Times New Roman" w:hAnsi="Times New Roman"/>
                <w:sz w:val="22"/>
                <w:szCs w:val="22"/>
                <w:color w:val="auto"/>
              </w:rPr>
              <w:t>Interest rates ranging from 3.25% to</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8.50%</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9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19"/>
        </w:trPr>
        <w:tc>
          <w:tcPr>
            <w:tcW w:w="2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7,761,127</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Party-in-interest</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 Historical cost information is not required for participant-directed investments.</w:t>
      </w:r>
    </w:p>
    <w:p>
      <w:pPr>
        <w:ind w:right="2720" w:firstLine="8"/>
        <w:spacing w:after="0" w:line="204" w:lineRule="auto"/>
        <w:tabs>
          <w:tab w:leader="none" w:pos="1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Plan participants access the BlackRock equity Trusts through Fidelity custom funds. The unit value of the custom fund will differ from the unit value of the underlying Trust.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Not available as a stand-alone investment option.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9"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66"/>
        </w:trPr>
        <w:tc>
          <w:tcPr>
            <w:tcW w:w="2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1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8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ConocoPhillips Savings Plan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EIN 73-0400345, Plan 022</w:t>
            </w: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9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22"/>
                <w:szCs w:val="22"/>
                <w:b w:val="1"/>
                <w:bCs w:val="1"/>
                <w:color w:val="auto"/>
                <w:w w:val="86"/>
              </w:rPr>
              <w:t>Number</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173" w:right="35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333-98681, 333-116216, 333-133101, and 333-171047) pertaining to the ConocoPhillips Savings Plan of our report dated June 24, 2026, with respect to the financial statements and schedule of the ConocoPhillips Savings Plan included in this Annual Report (Form 11-K) for the year ended December 31, 2025.</w:t>
      </w:r>
    </w:p>
    <w:p>
      <w:pPr>
        <w:spacing w:after="0" w:line="200" w:lineRule="exact"/>
        <w:rPr>
          <w:sz w:val="20"/>
          <w:szCs w:val="20"/>
          <w:color w:val="auto"/>
        </w:rPr>
      </w:pPr>
    </w:p>
    <w:p>
      <w:pPr>
        <w:spacing w:after="0" w:line="24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2026-06-24T16:07:27Z</dcterms:created>
  <dcterms:modified xsi:type="dcterms:W3CDTF">2026-06-24T16:07:27Z</dcterms:modified>
</cp:coreProperties>
</file>