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Patterson Greig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16930 PARK ROW DR.</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77084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CONOCOPHILLIPS</w:t>
              </w:r>
            </w:hyperlink>
            <w:r>
              <w:rPr/>
              <w:t xml:space="preserve"> [ </w:t>
            </w:r>
            <w:r>
              <w:rPr>
                <w:rFonts w:ascii="Times;serif" w:hAnsi="Times;serif"/>
                <w:color w:val="0000FF"/>
                <w:sz w:val="24"/>
                <w:shd w:fill="FFFFFF" w:val="clear"/>
              </w:rPr>
              <w:t>COP</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Vice President &amp; Controller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50.5</w:t>
            </w:r>
            <w:r>
              <w:rPr>
                <w:rFonts w:ascii="Times;serif" w:hAnsi="Times;serif"/>
                <w:color w:val="008000"/>
                <w:position w:val="7"/>
                <w:sz w:val="16"/>
                <w:sz w:val="20"/>
                <w:shd w:fill="FFFFFF" w:val="clear"/>
              </w:rPr>
              <w:t>(1)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UK Share Incentive Plan</w:t>
            </w:r>
          </w:p>
        </w:tc>
      </w:tr>
    </w:tbl>
    <w:tbl>
      <w:tblPr>
        <w:tblW w:w="5000" w:type="pct"/>
        <w:jc w:val="left"/>
        <w:tblInd w:w="-7" w:type="dxa"/>
        <w:tblLayout w:type="fixed"/>
        <w:tblCellMar>
          <w:top w:w="60" w:type="dxa"/>
          <w:left w:w="60" w:type="dxa"/>
          <w:bottom w:w="60" w:type="dxa"/>
          <w:right w:w="60" w:type="dxa"/>
        </w:tblCellMar>
      </w:tblPr>
      <w:tblGrid>
        <w:gridCol w:w="1590"/>
        <w:gridCol w:w="1222"/>
        <w:gridCol w:w="1125"/>
        <w:gridCol w:w="1302"/>
        <w:gridCol w:w="1141"/>
        <w:gridCol w:w="1257"/>
        <w:gridCol w:w="1217"/>
        <w:gridCol w:w="135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5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4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5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1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Units</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1,736</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2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Units</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2,296.351</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2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Units</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3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2,243.556</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2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units acquired through routine dividend transactions that are exempt under rule 16a-11 and through a qualified plan that are exempt under rule 16b-3.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stock unit grant settles 3 years from date of grant, but may be eligible for full or partial early settlement upon termination of employment after attainment of age 55 with five years of service, layoff, death or disability, or a change of control.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stock units do not have an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stock units represent ConocoPhillips common stock on a 1-for-1 basis.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Monica E. White, Attorney in Fact (by Power of Attorney filed herewith)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40"/>
        <w:jc w:val="center"/>
        <w:rPr>
          <w:rFonts w:ascii="Times New Roman" w:hAnsi="Times New Roman"/>
          <w:b/>
          <w:caps/>
          <w:color w:val="000000"/>
          <w:sz w:val="24"/>
          <w:u w:val="single"/>
        </w:rPr>
      </w:pPr>
      <w:bookmarkStart w:id="2" w:name="cop-ex24.htm"/>
      <w:bookmarkStart w:id="3" w:name="kscopex24"/>
      <w:bookmarkEnd w:id="2"/>
      <w:bookmarkEnd w:id="3"/>
      <w:r>
        <w:rPr>
          <w:rFonts w:ascii="Times New Roman" w:hAnsi="Times New Roman"/>
          <w:b/>
          <w:caps/>
          <w:color w:val="000000"/>
          <w:sz w:val="24"/>
          <w:u w:val="single"/>
        </w:rPr>
        <w:t>POWER OF ATTORNEY</w:t>
      </w:r>
      <w:r>
        <w:br w:type="page"/>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undersigned, a person subject to ownership reporting pursuant to Section 16(a) of the Securities Exchange Act of 1934, as amended (the “Exchange Act”), and requirements pursuant to Rule 144 under the Securities Act of 1933, as amended (the “Securities Act”), in respect of the equity securities of ConocoPhillips, hereby makes, constitutes and appoints Monica E. White and Steven P. Amrein, and each of them acting individually, as my true and lawful attorney-in-fact with full power and authority: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prepare, execute in my name and on my behalf, and file with the U.S. Securities and Exchange Commission (the “SEC”) any of the following forms which I may be required or permitted to file: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Form ID and any other documents necessary or appropriate to obtain codes and passwords enabling the undersigned to make electronic filings with the SEC of reports required by Section 16(a) of the Exchange Act or any rule or regulation of the SEC;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Forms 3, 4 and 5 or any other reports or statements of beneficial ownership or changes of beneficial ownership necessary or appropriate under Section 16(a) of the Exchange Act;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Form 144, or any other notice of proposed sale of securities or other document necessary or appropriate under Rule 144 of the Securities Act.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w:t>
      </w:r>
    </w:p>
    <w:p>
      <w:pPr>
        <w:pStyle w:val="TextBody"/>
        <w:bidi w:val="0"/>
        <w:jc w:val="both"/>
        <w:rPr>
          <w:rFonts w:ascii="Times New Roman" w:hAnsi="Times New Roman"/>
          <w:color w:val="000000"/>
          <w:sz w:val="24"/>
        </w:rPr>
      </w:pPr>
      <w:r>
        <w:rPr>
          <w:rFonts w:ascii="Times New Roman" w:hAnsi="Times New Roman"/>
          <w:color w:val="000000"/>
          <w:sz w:val="24"/>
        </w:rPr>
        <w:t>to do and perform any and all acts for and on my behalf which may be necessary or desirable to complete and execute any such Form ID, 3, 4, 5, or 144, complete and execute any amendment or amendments thereto, and timely file such form with the SEC and any stock exchange or similar authority.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hereby revoke any previous power of attorney I may have given to any person to make and file such reports, statements and notices with respect to the equity securities of ConocoPhillips. This Power of Attorney shall remain in force for so long as I may be subject to reporting obligations under Section 16(a) of the Exchange Act or the requirements of Rule 144 under the Securities Act, unless earlier expressly revoked by me in writing and delivered to ConocoPhillips. Each of my attorneys-in-fact may at their sole discretion designate one or more substitute attorneys-in-fact to act in their place. I acknowledge that my attorneys-in-fact, in serving in this capacity at my request, are not assuming, nor is ConocoPhillips assuming, any of my responsibilities to comply with the Exchange Act, the Securities Act, or the rules and regulations thereunder.</w:t>
      </w:r>
    </w:p>
    <w:p>
      <w:pPr>
        <w:pStyle w:val="TextBody"/>
        <w:bidi w:val="0"/>
        <w:spacing w:before="0" w:after="160"/>
        <w:jc w:val="left"/>
        <w:rPr/>
      </w:pPr>
      <w:r>
        <w:rPr/>
        <w:t> </w:t>
      </w:r>
    </w:p>
    <w:p>
      <w:pPr>
        <w:pStyle w:val="TextBody"/>
        <w:bidi w:val="0"/>
        <w:spacing w:before="0" w:after="160"/>
        <w:jc w:val="center"/>
        <w:rPr>
          <w:rFonts w:ascii="Times New Roman" w:hAnsi="Times New Roman"/>
          <w:sz w:val="24"/>
        </w:rPr>
      </w:pPr>
      <w:r>
        <w:rPr>
          <w:rFonts w:ascii="Times New Roman" w:hAnsi="Times New Roman"/>
          <w:b/>
          <w:color w:val="000000"/>
          <w:sz w:val="24"/>
        </w:rPr>
        <w:t>[</w:t>
      </w:r>
      <w:r>
        <w:rPr>
          <w:rFonts w:ascii="Times New Roman" w:hAnsi="Times New Roman"/>
          <w:b/>
          <w:i/>
          <w:color w:val="000000"/>
          <w:sz w:val="24"/>
        </w:rPr>
        <w:t>Signature page follows</w:t>
      </w:r>
      <w:r>
        <w:rPr>
          <w:rFonts w:ascii="Times New Roman" w:hAnsi="Times New Roman"/>
          <w:b/>
          <w:color w:val="000000"/>
          <w:sz w:val="24"/>
        </w:rPr>
        <w:t>]</w:t>
      </w:r>
    </w:p>
    <w:p>
      <w:pPr>
        <w:pStyle w:val="HorizontalLine"/>
        <w:pBdr>
          <w:bottom w:val="double" w:sz="2" w:space="0" w:color="808080"/>
        </w:pBdr>
        <w:bidi w:val="0"/>
        <w:spacing w:before="0" w:after="283"/>
        <w:jc w:val="left"/>
        <w:rPr/>
      </w:pPr>
      <w:r>
        <w:rPr/>
      </w:r>
    </w:p>
    <w:p>
      <w:pPr>
        <w:pStyle w:val="TextBody"/>
        <w:bidi w:val="0"/>
        <w:spacing w:lineRule="auto" w:line="360" w:before="0" w:after="240"/>
        <w:jc w:val="both"/>
        <w:rPr>
          <w:rFonts w:ascii="Times New Roman" w:hAnsi="Times New Roman"/>
          <w:sz w:val="16"/>
        </w:rPr>
      </w:pPr>
      <w:r>
        <w:rPr>
          <w:rFonts w:ascii="Times New Roman" w:hAnsi="Times New Roman"/>
          <w:color w:val="000000"/>
          <w:sz w:val="24"/>
        </w:rPr>
        <w:t>IN WITNESS WHEREOF, the undersigned has caused this Power of Attorney to be executed as of this 1</w:t>
      </w:r>
      <w:r>
        <w:rPr>
          <w:rFonts w:ascii="Times New Roman" w:hAnsi="Times New Roman"/>
          <w:color w:val="000000"/>
          <w:sz w:val="16"/>
        </w:rPr>
        <w:t xml:space="preserve">st </w:t>
      </w:r>
      <w:r>
        <w:rPr>
          <w:rFonts w:ascii="Times New Roman" w:hAnsi="Times New Roman"/>
          <w:color w:val="000000"/>
          <w:sz w:val="24"/>
        </w:rPr>
        <w:t>day of September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 xml:space="preserve">/s/ Greig Patterson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Greig Patterson</w:t>
      </w:r>
    </w:p>
    <w:p>
      <w:pPr>
        <w:pStyle w:val="TextBody"/>
        <w:bidi w:val="0"/>
        <w:spacing w:before="0" w:after="160"/>
        <w:jc w:val="left"/>
        <w:rPr/>
      </w:pPr>
      <w:r>
        <w:rPr/>
        <w:t> </w:t>
      </w:r>
    </w:p>
    <w:p>
      <w:pPr>
        <w:pStyle w:val="TextBody"/>
        <w:bidi w:val="0"/>
        <w:spacing w:before="0" w:after="16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STATE OF TEXAS §</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COUNTY OF HARRIS §</w:t>
      </w:r>
    </w:p>
    <w:p>
      <w:pPr>
        <w:pStyle w:val="TextBody"/>
        <w:bidi w:val="0"/>
        <w:spacing w:lineRule="auto" w:line="360" w:before="0" w:after="240"/>
        <w:jc w:val="both"/>
        <w:rPr>
          <w:rFonts w:ascii="Times New Roman" w:hAnsi="Times New Roman"/>
          <w:sz w:val="16"/>
        </w:rPr>
      </w:pPr>
      <w:r>
        <w:rPr>
          <w:rFonts w:ascii="Times New Roman" w:hAnsi="Times New Roman"/>
          <w:color w:val="000000"/>
          <w:sz w:val="24"/>
        </w:rPr>
        <w:t>On this 1</w:t>
      </w:r>
      <w:r>
        <w:rPr>
          <w:rFonts w:ascii="Times New Roman" w:hAnsi="Times New Roman"/>
          <w:color w:val="000000"/>
          <w:sz w:val="16"/>
        </w:rPr>
        <w:t xml:space="preserve">st </w:t>
      </w:r>
      <w:r>
        <w:rPr>
          <w:rFonts w:ascii="Times New Roman" w:hAnsi="Times New Roman"/>
          <w:color w:val="000000"/>
          <w:sz w:val="24"/>
        </w:rPr>
        <w:t>day of September 2026, Greig Patterson personally appeared before me and acknowledged that he executed the foregoing instrument for the purposes therein contained.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I have hereunto set my hand and official seal.</w:t>
      </w:r>
    </w:p>
    <w:p>
      <w:pPr>
        <w:pStyle w:val="TextBody"/>
        <w:bidi w:val="0"/>
        <w:jc w:val="left"/>
        <w:rPr/>
      </w:pPr>
      <w:r>
        <w:rPr/>
        <w:t> </w:t>
      </w:r>
    </w:p>
    <w:p>
      <w:pPr>
        <w:pStyle w:val="TextBody"/>
        <w:bidi w:val="0"/>
        <w:spacing w:before="0" w:after="16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 xml:space="preserve">/s/ Sharon K. Horton </w:t>
      </w:r>
    </w:p>
    <w:p>
      <w:pPr>
        <w:pStyle w:val="TextBody"/>
        <w:bidi w:val="0"/>
        <w:jc w:val="both"/>
        <w:rPr>
          <w:rFonts w:ascii="Times New Roman" w:hAnsi="Times New Roman"/>
          <w:color w:val="000000"/>
          <w:sz w:val="24"/>
        </w:rPr>
      </w:pPr>
      <w:r>
        <w:rPr>
          <w:rFonts w:ascii="Times New Roman" w:hAnsi="Times New Roman"/>
          <w:color w:val="000000"/>
          <w:sz w:val="24"/>
        </w:rPr>
        <w:t>Notary Public</w:t>
      </w:r>
    </w:p>
    <w:p>
      <w:pPr>
        <w:pStyle w:val="TextBody"/>
        <w:bidi w:val="0"/>
        <w:jc w:val="both"/>
        <w:rPr>
          <w:rFonts w:ascii="Times New Roman" w:hAnsi="Times New Roman"/>
          <w:color w:val="000000"/>
          <w:sz w:val="24"/>
        </w:rPr>
      </w:pPr>
      <w:r>
        <w:rPr>
          <w:rFonts w:ascii="Times New Roman" w:hAnsi="Times New Roman"/>
          <w:color w:val="000000"/>
          <w:sz w:val="24"/>
        </w:rPr>
        <w:t>My Commission Expires: August 7, 2029</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1960" TargetMode="External"/><Relationship Id="rId3" Type="http://schemas.openxmlformats.org/officeDocument/2006/relationships/hyperlink" Target="http://www.sec.gov/cgi-bin/browse-edgar?action=getcompany&amp;CIK=000116316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1019</Words>
  <Characters>5276</Characters>
  <CharactersWithSpaces>6208</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