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8-K</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6, 2025</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ConocoPhillips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58"/>
        </w:trPr>
        <w:tc>
          <w:tcPr>
            <w:tcW w:w="3440" w:type="dxa"/>
            <w:vAlign w:val="bottom"/>
          </w:tcPr>
          <w:p>
            <w:pPr>
              <w:jc w:val="center"/>
              <w:ind w:right="881"/>
              <w:spacing w:after="0"/>
              <w:rPr>
                <w:sz w:val="20"/>
                <w:szCs w:val="20"/>
                <w:color w:val="auto"/>
              </w:rPr>
            </w:pPr>
            <w:r>
              <w:rPr>
                <w:rFonts w:ascii="Arial" w:cs="Arial" w:eastAsia="Arial" w:hAnsi="Arial"/>
                <w:sz w:val="20"/>
                <w:szCs w:val="20"/>
                <w:b w:val="1"/>
                <w:bCs w:val="1"/>
                <w:color w:val="auto"/>
                <w:w w:val="97"/>
              </w:rPr>
              <w:t>Delaware</w:t>
            </w:r>
          </w:p>
        </w:tc>
        <w:tc>
          <w:tcPr>
            <w:tcW w:w="3320" w:type="dxa"/>
            <w:vAlign w:val="bottom"/>
          </w:tcPr>
          <w:p>
            <w:pPr>
              <w:jc w:val="center"/>
              <w:ind w:right="161"/>
              <w:spacing w:after="0"/>
              <w:rPr>
                <w:sz w:val="20"/>
                <w:szCs w:val="20"/>
                <w:color w:val="auto"/>
              </w:rPr>
            </w:pPr>
            <w:r>
              <w:rPr>
                <w:rFonts w:ascii="Arial" w:cs="Arial" w:eastAsia="Arial" w:hAnsi="Arial"/>
                <w:sz w:val="20"/>
                <w:szCs w:val="20"/>
                <w:b w:val="1"/>
                <w:bCs w:val="1"/>
                <w:color w:val="auto"/>
                <w:w w:val="98"/>
              </w:rPr>
              <w:t>001-32395</w:t>
            </w:r>
          </w:p>
        </w:tc>
        <w:tc>
          <w:tcPr>
            <w:tcW w:w="2740" w:type="dxa"/>
            <w:vAlign w:val="bottom"/>
          </w:tcPr>
          <w:p>
            <w:pPr>
              <w:jc w:val="center"/>
              <w:ind w:left="1101"/>
              <w:spacing w:after="0"/>
              <w:rPr>
                <w:sz w:val="20"/>
                <w:szCs w:val="20"/>
                <w:color w:val="auto"/>
              </w:rPr>
            </w:pPr>
            <w:r>
              <w:rPr>
                <w:rFonts w:ascii="Arial" w:cs="Arial" w:eastAsia="Arial" w:hAnsi="Arial"/>
                <w:sz w:val="20"/>
                <w:szCs w:val="20"/>
                <w:b w:val="1"/>
                <w:bCs w:val="1"/>
                <w:color w:val="auto"/>
                <w:w w:val="99"/>
              </w:rPr>
              <w:t>01-0562944</w:t>
            </w:r>
          </w:p>
        </w:tc>
      </w:tr>
      <w:tr>
        <w:trPr>
          <w:trHeight w:val="203"/>
        </w:trPr>
        <w:tc>
          <w:tcPr>
            <w:tcW w:w="3440" w:type="dxa"/>
            <w:vAlign w:val="bottom"/>
          </w:tcPr>
          <w:p>
            <w:pPr>
              <w:jc w:val="center"/>
              <w:ind w:right="881"/>
              <w:spacing w:after="0" w:line="203" w:lineRule="exact"/>
              <w:rPr>
                <w:sz w:val="20"/>
                <w:szCs w:val="20"/>
                <w:color w:val="auto"/>
              </w:rPr>
            </w:pPr>
            <w:r>
              <w:rPr>
                <w:rFonts w:ascii="Arial" w:cs="Arial" w:eastAsia="Arial" w:hAnsi="Arial"/>
                <w:sz w:val="20"/>
                <w:szCs w:val="20"/>
                <w:color w:val="auto"/>
                <w:w w:val="98"/>
              </w:rPr>
              <w:t>(State or other jurisdiction of</w:t>
            </w:r>
          </w:p>
        </w:tc>
        <w:tc>
          <w:tcPr>
            <w:tcW w:w="3320" w:type="dxa"/>
            <w:vAlign w:val="bottom"/>
          </w:tcPr>
          <w:p>
            <w:pPr>
              <w:jc w:val="center"/>
              <w:ind w:right="161"/>
              <w:spacing w:after="0" w:line="203" w:lineRule="exact"/>
              <w:rPr>
                <w:sz w:val="20"/>
                <w:szCs w:val="20"/>
                <w:color w:val="auto"/>
              </w:rPr>
            </w:pPr>
            <w:r>
              <w:rPr>
                <w:rFonts w:ascii="Arial" w:cs="Arial" w:eastAsia="Arial" w:hAnsi="Arial"/>
                <w:sz w:val="20"/>
                <w:szCs w:val="20"/>
                <w:color w:val="auto"/>
                <w:w w:val="97"/>
              </w:rPr>
              <w:t>(Commission</w:t>
            </w:r>
          </w:p>
        </w:tc>
        <w:tc>
          <w:tcPr>
            <w:tcW w:w="2740" w:type="dxa"/>
            <w:vAlign w:val="bottom"/>
          </w:tcPr>
          <w:p>
            <w:pPr>
              <w:jc w:val="center"/>
              <w:ind w:left="1041"/>
              <w:spacing w:after="0" w:line="203" w:lineRule="exact"/>
              <w:rPr>
                <w:sz w:val="20"/>
                <w:szCs w:val="20"/>
                <w:color w:val="auto"/>
              </w:rPr>
            </w:pPr>
            <w:r>
              <w:rPr>
                <w:rFonts w:ascii="Arial" w:cs="Arial" w:eastAsia="Arial" w:hAnsi="Arial"/>
                <w:sz w:val="20"/>
                <w:szCs w:val="20"/>
                <w:color w:val="auto"/>
                <w:w w:val="98"/>
              </w:rPr>
              <w:t>(I.R.S. Employer</w:t>
            </w:r>
          </w:p>
        </w:tc>
      </w:tr>
      <w:tr>
        <w:trPr>
          <w:trHeight w:val="261"/>
        </w:trPr>
        <w:tc>
          <w:tcPr>
            <w:tcW w:w="3440" w:type="dxa"/>
            <w:vAlign w:val="bottom"/>
          </w:tcPr>
          <w:p>
            <w:pPr>
              <w:jc w:val="center"/>
              <w:ind w:right="881"/>
              <w:spacing w:after="0"/>
              <w:rPr>
                <w:sz w:val="20"/>
                <w:szCs w:val="20"/>
                <w:color w:val="auto"/>
              </w:rPr>
            </w:pPr>
            <w:r>
              <w:rPr>
                <w:rFonts w:ascii="Arial" w:cs="Arial" w:eastAsia="Arial" w:hAnsi="Arial"/>
                <w:sz w:val="20"/>
                <w:szCs w:val="20"/>
                <w:color w:val="auto"/>
                <w:w w:val="99"/>
              </w:rPr>
              <w:t>incorporation)</w:t>
            </w:r>
          </w:p>
        </w:tc>
        <w:tc>
          <w:tcPr>
            <w:tcW w:w="3320" w:type="dxa"/>
            <w:vAlign w:val="bottom"/>
          </w:tcPr>
          <w:p>
            <w:pPr>
              <w:jc w:val="center"/>
              <w:ind w:right="161"/>
              <w:spacing w:after="0"/>
              <w:rPr>
                <w:sz w:val="20"/>
                <w:szCs w:val="20"/>
                <w:color w:val="auto"/>
              </w:rPr>
            </w:pPr>
            <w:r>
              <w:rPr>
                <w:rFonts w:ascii="Arial" w:cs="Arial" w:eastAsia="Arial" w:hAnsi="Arial"/>
                <w:sz w:val="20"/>
                <w:szCs w:val="20"/>
                <w:color w:val="auto"/>
                <w:w w:val="98"/>
              </w:rPr>
              <w:t>File Number)</w:t>
            </w:r>
          </w:p>
        </w:tc>
        <w:tc>
          <w:tcPr>
            <w:tcW w:w="2740" w:type="dxa"/>
            <w:vAlign w:val="bottom"/>
          </w:tcPr>
          <w:p>
            <w:pPr>
              <w:jc w:val="center"/>
              <w:ind w:left="1101"/>
              <w:spacing w:after="0"/>
              <w:rPr>
                <w:sz w:val="20"/>
                <w:szCs w:val="20"/>
                <w:color w:val="auto"/>
              </w:rPr>
            </w:pPr>
            <w:r>
              <w:rPr>
                <w:rFonts w:ascii="Arial" w:cs="Arial" w:eastAsia="Arial" w:hAnsi="Arial"/>
                <w:sz w:val="20"/>
                <w:szCs w:val="20"/>
                <w:color w:val="auto"/>
                <w:w w:val="98"/>
              </w:rPr>
              <w:t>Identification No.)</w:t>
            </w:r>
          </w:p>
        </w:tc>
      </w:tr>
    </w:tbl>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925 N. Eldridge Parkway</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Houston, Texas 77079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 and zip code)</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(281) 293-1000</w:t>
      </w:r>
    </w:p>
    <w:p>
      <w:pPr>
        <w:spacing w:after="0" w:line="18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$.01 Par Value</w:t>
            </w:r>
          </w:p>
        </w:tc>
        <w:tc>
          <w:tcPr>
            <w:tcW w:w="10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COP</w:t>
            </w:r>
          </w:p>
        </w:tc>
        <w:tc>
          <w:tcPr>
            <w:tcW w:w="80" w:type="dxa"/>
            <w:vAlign w:val="bottom"/>
          </w:tcPr>
          <w:p>
            <w:pPr>
              <w:spacing w:after="0"/>
              <w:rPr>
                <w:sz w:val="18"/>
                <w:szCs w:val="18"/>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9"/>
        </w:trPr>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7% Debentures due 2029</w:t>
            </w: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CUSIP-718507BK1</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On November 6, 2025, ConocoPhillips issued a press release announcing the company's financial and operating results for the quarter ended September 30, 2025. A copy of the press release is furnished as Exhibit 99.1 hereto and incorporated herein by reference. Additional financial and operating information about the quarter is furnished as Exhibit 99.2 hereto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47" w:lineRule="exact"/>
        <w:rPr>
          <w:sz w:val="20"/>
          <w:szCs w:val="20"/>
          <w:color w:val="auto"/>
        </w:rPr>
      </w:pPr>
    </w:p>
    <w:p>
      <w:pPr>
        <w:ind w:left="240"/>
        <w:spacing w:after="0"/>
        <w:tabs>
          <w:tab w:leader="none" w:pos="2120" w:val="left"/>
        </w:tabs>
        <w:rPr>
          <w:sz w:val="20"/>
          <w:szCs w:val="20"/>
          <w:color w:val="auto"/>
        </w:rPr>
      </w:pPr>
      <w:r>
        <w:rPr>
          <w:rFonts w:ascii="Arial" w:cs="Arial" w:eastAsia="Arial" w:hAnsi="Arial"/>
          <w:sz w:val="22"/>
          <w:szCs w:val="22"/>
          <w:color w:val="auto"/>
        </w:rPr>
        <w:t>Exhibit No.</w:t>
      </w:r>
      <w:r>
        <w:rPr>
          <w:sz w:val="20"/>
          <w:szCs w:val="20"/>
          <w:color w:val="auto"/>
        </w:rPr>
        <w:tab/>
      </w:r>
      <w:r>
        <w:rPr>
          <w:rFonts w:ascii="Arial" w:cs="Arial" w:eastAsia="Arial" w:hAnsi="Arial"/>
          <w:sz w:val="21"/>
          <w:szCs w:val="21"/>
          <w:color w:val="auto"/>
        </w:rPr>
        <w:t>Description</w:t>
      </w:r>
    </w:p>
    <w:p>
      <w:pPr>
        <w:spacing w:after="0" w:line="301" w:lineRule="exact"/>
        <w:rPr>
          <w:sz w:val="20"/>
          <w:szCs w:val="20"/>
          <w:color w:val="auto"/>
        </w:rPr>
      </w:pPr>
    </w:p>
    <w:p>
      <w:pPr>
        <w:ind w:left="560"/>
        <w:spacing w:after="0"/>
        <w:tabs>
          <w:tab w:leader="none" w:pos="1760" w:val="left"/>
          <w:tab w:leader="none" w:pos="2280" w:val="left"/>
        </w:tabs>
        <w:rPr>
          <w:sz w:val="20"/>
          <w:szCs w:val="20"/>
          <w:color w:val="auto"/>
        </w:rPr>
      </w:pPr>
      <w:r>
        <w:rPr>
          <w:rFonts w:ascii="Arial" w:cs="Arial" w:eastAsia="Arial" w:hAnsi="Arial"/>
          <w:sz w:val="22"/>
          <w:szCs w:val="22"/>
          <w:u w:val="single" w:color="auto"/>
          <w:color w:val="3051F2"/>
        </w:rPr>
        <w:t>99.1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u w:val="single" w:color="auto"/>
          <w:color w:val="3051F2"/>
        </w:rPr>
        <w:t>Press release issued by ConocoPhillips on November 6, 2025.</w:t>
      </w:r>
    </w:p>
    <w:p>
      <w:pPr>
        <w:spacing w:after="0" w:line="287" w:lineRule="exact"/>
        <w:rPr>
          <w:sz w:val="20"/>
          <w:szCs w:val="20"/>
          <w:color w:val="auto"/>
        </w:rPr>
      </w:pPr>
    </w:p>
    <w:p>
      <w:pPr>
        <w:ind w:left="560"/>
        <w:spacing w:after="0"/>
        <w:tabs>
          <w:tab w:leader="none" w:pos="1760" w:val="left"/>
          <w:tab w:leader="none" w:pos="2280" w:val="left"/>
        </w:tabs>
        <w:rPr>
          <w:sz w:val="20"/>
          <w:szCs w:val="20"/>
          <w:color w:val="auto"/>
        </w:rPr>
      </w:pPr>
      <w:r>
        <w:rPr>
          <w:rFonts w:ascii="Arial" w:cs="Arial" w:eastAsia="Arial" w:hAnsi="Arial"/>
          <w:sz w:val="22"/>
          <w:szCs w:val="22"/>
          <w:u w:val="single" w:color="auto"/>
          <w:color w:val="3051F2"/>
        </w:rPr>
        <w:t>99.2</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u w:val="single" w:color="auto"/>
          <w:color w:val="3051F2"/>
        </w:rPr>
        <w:t>Supplemental financial information.</w:t>
      </w:r>
    </w:p>
    <w:p>
      <w:pPr>
        <w:spacing w:after="0" w:line="274" w:lineRule="exact"/>
        <w:rPr>
          <w:sz w:val="20"/>
          <w:szCs w:val="20"/>
          <w:color w:val="auto"/>
        </w:rPr>
      </w:pPr>
    </w:p>
    <w:p>
      <w:pPr>
        <w:ind w:left="560"/>
        <w:spacing w:after="0"/>
        <w:tabs>
          <w:tab w:leader="none" w:pos="1760" w:val="left"/>
          <w:tab w:leader="none" w:pos="22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Cover Page Interactive Data File (formatted as Inline XBRL and filed herewith).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7260"/>
        <w:spacing w:after="0"/>
        <w:rPr>
          <w:sz w:val="20"/>
          <w:szCs w:val="20"/>
          <w:color w:val="auto"/>
        </w:rPr>
      </w:pPr>
      <w:r>
        <w:rPr>
          <w:rFonts w:ascii="Arial" w:cs="Arial" w:eastAsia="Arial" w:hAnsi="Arial"/>
          <w:sz w:val="22"/>
          <w:szCs w:val="22"/>
          <w:b w:val="1"/>
          <w:bCs w:val="1"/>
          <w:color w:val="auto"/>
        </w:rPr>
        <w:t>CONOCOPHILLIPS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5220"/>
        <w:spacing w:after="0"/>
        <w:rPr>
          <w:sz w:val="20"/>
          <w:szCs w:val="20"/>
          <w:color w:val="auto"/>
        </w:rPr>
      </w:pPr>
      <w:r>
        <w:rPr>
          <w:rFonts w:ascii="Arial" w:cs="Arial" w:eastAsia="Arial" w:hAnsi="Arial"/>
          <w:sz w:val="22"/>
          <w:szCs w:val="22"/>
          <w:i w:val="1"/>
          <w:iCs w:val="1"/>
          <w:color w:val="auto"/>
        </w:rPr>
        <w:t>/s/ Kontessa S. Haynes-Welsh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3814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1" w:lineRule="exact"/>
        <w:rPr>
          <w:sz w:val="20"/>
          <w:szCs w:val="20"/>
          <w:color w:val="auto"/>
        </w:rPr>
      </w:pPr>
    </w:p>
    <w:p>
      <w:pPr>
        <w:jc w:val="center"/>
        <w:ind w:left="5220"/>
        <w:spacing w:after="0"/>
        <w:rPr>
          <w:sz w:val="20"/>
          <w:szCs w:val="20"/>
          <w:color w:val="auto"/>
        </w:rPr>
      </w:pPr>
      <w:r>
        <w:rPr>
          <w:rFonts w:ascii="Arial" w:cs="Arial" w:eastAsia="Arial" w:hAnsi="Arial"/>
          <w:sz w:val="22"/>
          <w:szCs w:val="22"/>
          <w:color w:val="auto"/>
        </w:rPr>
        <w:t>Kontessa S. Haynes-Welsh</w:t>
      </w:r>
    </w:p>
    <w:p>
      <w:pPr>
        <w:spacing w:after="0" w:line="31" w:lineRule="exact"/>
        <w:rPr>
          <w:sz w:val="20"/>
          <w:szCs w:val="20"/>
          <w:color w:val="auto"/>
        </w:rPr>
      </w:pPr>
    </w:p>
    <w:p>
      <w:pPr>
        <w:jc w:val="center"/>
        <w:ind w:left="5220"/>
        <w:spacing w:after="0"/>
        <w:rPr>
          <w:sz w:val="20"/>
          <w:szCs w:val="20"/>
          <w:color w:val="auto"/>
        </w:rPr>
      </w:pPr>
      <w:r>
        <w:rPr>
          <w:rFonts w:ascii="Arial" w:cs="Arial" w:eastAsia="Arial" w:hAnsi="Arial"/>
          <w:sz w:val="22"/>
          <w:szCs w:val="22"/>
          <w:color w:val="auto"/>
        </w:rPr>
        <w:t>Vice President and Controller</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November 6,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935" w:right="4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jc w:val="center"/>
        <w:ind w:left="340" w:right="120"/>
        <w:spacing w:after="0" w:line="298" w:lineRule="auto"/>
        <w:rPr>
          <w:sz w:val="20"/>
          <w:szCs w:val="20"/>
          <w:color w:val="auto"/>
        </w:rPr>
      </w:pPr>
      <w:r>
        <w:rPr>
          <w:rFonts w:ascii="Arial" w:cs="Arial" w:eastAsia="Arial" w:hAnsi="Arial"/>
          <w:sz w:val="25"/>
          <w:szCs w:val="25"/>
          <w:b w:val="1"/>
          <w:bCs w:val="1"/>
          <w:color w:val="auto"/>
        </w:rPr>
        <w:t>ConocoPhillips announces third-quarter 2025 results; increases quarterly ordinary dividend by 8% and announces preliminary 2026 guidance</w:t>
      </w:r>
    </w:p>
    <w:p>
      <w:pPr>
        <w:spacing w:after="0" w:line="288"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Reported third-quarter 2025 earnings per share of $1.38 and adjusted earnings per share of $1.61.</w:t>
      </w:r>
    </w:p>
    <w:p>
      <w:pPr>
        <w:spacing w:after="0" w:line="31"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cash provided by operating activities of $5.9 billion and cash from operations (CFO) of $5.4 billion.</w:t>
      </w: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Raised ordinary dividend by 8% to $0.84 per share.</w:t>
      </w:r>
    </w:p>
    <w:p>
      <w:pPr>
        <w:spacing w:after="0" w:line="13" w:lineRule="exact"/>
        <w:rPr>
          <w:rFonts w:ascii="Arial" w:cs="Arial" w:eastAsia="Arial" w:hAnsi="Arial"/>
          <w:sz w:val="20"/>
          <w:szCs w:val="20"/>
          <w:color w:val="auto"/>
        </w:rPr>
      </w:pPr>
    </w:p>
    <w:p>
      <w:pPr>
        <w:ind w:left="660" w:right="500" w:hanging="328"/>
        <w:spacing w:after="0" w:line="246"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Raised full-year 2025 production guidance to 2.375 MMBOED and further reduced operating cost guidance to $10.6 billion.</w:t>
      </w:r>
    </w:p>
    <w:p>
      <w:pPr>
        <w:spacing w:after="0" w:line="1" w:lineRule="exact"/>
        <w:rPr>
          <w:rFonts w:ascii="Arial" w:cs="Arial" w:eastAsia="Arial" w:hAnsi="Arial"/>
          <w:sz w:val="20"/>
          <w:szCs w:val="20"/>
          <w:color w:val="auto"/>
        </w:rPr>
      </w:pPr>
    </w:p>
    <w:p>
      <w:pPr>
        <w:ind w:left="660" w:right="300" w:hanging="328"/>
        <w:spacing w:after="0" w:line="267"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Announced preliminary 2026 guidance, including $12 billion of capital expenditures, $10.2 billion of adjusted operating costs and 0 to 2% underlying production growth.</w:t>
      </w:r>
    </w:p>
    <w:p>
      <w:pPr>
        <w:spacing w:after="0" w:line="348"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HOUSTON—Nov. 6, 2025—ConocoPhillips (NYSE: COP) today reported third-quarter 2025 earnings of $1.7 billion, or $1.38 per share, compared with third-quarter 2024 earnings of $2.1 billion, or $1.76 per share. Excluding special items, third-quarter 2025 adjusted earnings were $2.0 billion, or $1.61 per share, compared with third-quarter 2024 adjusted earnings of $2.1 billion, or $1.78 per share. Special items for the quarter primarily relate to restructuring costs.</w:t>
      </w:r>
    </w:p>
    <w:p>
      <w:pPr>
        <w:spacing w:after="0" w:line="170"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"ConocoPhillips again demonstrated strong operational and financial performance in the third quarter, resulting in higher production and reduced operating cost guidance for 2025. We increased our base dividend by 8%, consistent with our goal to provide top quartile dividend growth in the S&amp;P 500,” said Ryan Lance, chairman and chief executive officer. “Looking to 2026, we expect lower capital and operating costs with flat to modest production growth. Willow total project capital is updated to $8.5 to $9 billion, with total LNG project capital reduced to $3.4 billion. Powered by our deep, durable and diverse portfolio, we remain on track to deliver an expected $7 billion in incremental free cash flow by 2029, including $1 billion each year from 2026 through 2028.”</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highlights and recent announcements</w:t>
      </w:r>
    </w:p>
    <w:p>
      <w:pPr>
        <w:spacing w:after="0" w:line="204" w:lineRule="exact"/>
        <w:rPr>
          <w:sz w:val="20"/>
          <w:szCs w:val="20"/>
          <w:color w:val="auto"/>
        </w:rPr>
      </w:pPr>
    </w:p>
    <w:p>
      <w:pPr>
        <w:ind w:left="660" w:right="520" w:hanging="328"/>
        <w:spacing w:after="0" w:line="255"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Delivered total company and Lower 48 production of 2,399 thousand barrels of oil equivalent per day (MBOED) and 1,528 MBOED, respectively.</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Exceeded $3 billion in dispositions in 2025 and on track to meet $5 billion disposition target by year-end 2026.</w:t>
      </w:r>
    </w:p>
    <w:p>
      <w:pPr>
        <w:spacing w:after="0" w:line="13" w:lineRule="exact"/>
        <w:rPr>
          <w:rFonts w:ascii="Arial" w:cs="Arial" w:eastAsia="Arial" w:hAnsi="Arial"/>
          <w:sz w:val="20"/>
          <w:szCs w:val="20"/>
          <w:color w:val="auto"/>
        </w:rPr>
      </w:pPr>
    </w:p>
    <w:p>
      <w:pPr>
        <w:ind w:left="660" w:right="46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Advanced commercial LNG strategy by signing 20-year sales and purchase agreements at PALNG Phase 2 and Rio Grande LNG Train 5, expected to commence in 2030 and 2031, respectively.</w:t>
      </w:r>
    </w:p>
    <w:p>
      <w:pPr>
        <w:spacing w:after="0" w:line="1" w:lineRule="exact"/>
        <w:rPr>
          <w:rFonts w:ascii="Arial" w:cs="Arial" w:eastAsia="Arial" w:hAnsi="Arial"/>
          <w:sz w:val="20"/>
          <w:szCs w:val="20"/>
          <w:color w:val="auto"/>
        </w:rPr>
      </w:pPr>
    </w:p>
    <w:p>
      <w:pPr>
        <w:ind w:left="660" w:right="6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Distributed over $2.2 billion to shareholders, including $1.3 billion through share repurchases and $1.0 billion through the ordinary dividend.</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Ended the quarter with cash and short-term investments of $6.6 billion and long-term investments of $1.1 billion.</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Quarterly dividend</w:t>
      </w:r>
    </w:p>
    <w:p>
      <w:pPr>
        <w:spacing w:after="0" w:line="218"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ConocoPhillips raised the fourth-quarter ordinary dividend by 8% to $0.84 per share, payable Dec. 1, 2025, to stockholders of record at the close of business on Nov. 17, 2025.</w:t>
      </w:r>
    </w:p>
    <w:p>
      <w:pPr>
        <w:sectPr>
          <w:pgSz w:w="11900" w:h="16838" w:orient="portrait"/>
          <w:cols w:equalWidth="0" w:num="1">
            <w:col w:w="11240"/>
          </w:cols>
          <w:pgMar w:left="320" w:top="9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ConocoPhillips announces third-quarter 2025 results; increases quarterly ordinary dividend by 8% and announces preliminary 2026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Major projects update</w:t>
      </w:r>
    </w:p>
    <w:p>
      <w:pPr>
        <w:spacing w:after="0" w:line="204" w:lineRule="exact"/>
        <w:rPr>
          <w:sz w:val="20"/>
          <w:szCs w:val="20"/>
          <w:color w:val="auto"/>
        </w:rPr>
      </w:pPr>
    </w:p>
    <w:p>
      <w:pPr>
        <w:jc w:val="both"/>
        <w:ind w:right="380"/>
        <w:spacing w:after="0" w:line="262" w:lineRule="auto"/>
        <w:rPr>
          <w:sz w:val="20"/>
          <w:szCs w:val="20"/>
          <w:color w:val="auto"/>
        </w:rPr>
      </w:pPr>
      <w:r>
        <w:rPr>
          <w:rFonts w:ascii="Arial" w:cs="Arial" w:eastAsia="Arial" w:hAnsi="Arial"/>
          <w:sz w:val="20"/>
          <w:szCs w:val="20"/>
          <w:color w:val="auto"/>
        </w:rPr>
        <w:t>At the Willow project in Alaska, the company updated project capital guidance to $8.5 to $9.0 billion, primarily due to general inflation and localized North Slope and marine cost escalation. With Willow nearing 50% completion and the key milestones achieved to date, the company has narrowed expected first oil to early 2029.</w:t>
      </w:r>
    </w:p>
    <w:p>
      <w:pPr>
        <w:spacing w:after="0" w:line="165"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ConocoPhillips continues to progress its three equity LNG projects: North Field East (NFE) and North Field South (NFS) in Qatar and PALNG on the U.S. Gulf Coast. The company has reduced its total LNG project capital guidance to $3.4 billion after securing a $0.6 billion credit against Port Arthur capital spending. Taking into account this credit, the company is approximately 80% complete with total LNG project capital. All three projects remain on schedule with first LNG from NFE expected in 2026.</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Asset dispositions update</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ConocoPhillips has executed dispositions of over $3.0 billion in 2025 and is on track to meet its $5 billion disposition target by year-end 2026. On October 1, 2025, the company closed the disposition of Anadarko Basin assets for $1.3 billion. Additionally, in the fourth quarter of 2025, the sale of certain noncore assets closed or are expected to close for approximately $0.5 billion, subject to customary closing adjustments.</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review</w:t>
      </w:r>
    </w:p>
    <w:p>
      <w:pPr>
        <w:spacing w:after="0" w:line="204" w:lineRule="exact"/>
        <w:rPr>
          <w:sz w:val="20"/>
          <w:szCs w:val="20"/>
          <w:color w:val="auto"/>
        </w:rPr>
      </w:pPr>
    </w:p>
    <w:p>
      <w:pPr>
        <w:ind w:right="420"/>
        <w:spacing w:after="0" w:line="262" w:lineRule="auto"/>
        <w:rPr>
          <w:sz w:val="20"/>
          <w:szCs w:val="20"/>
          <w:color w:val="auto"/>
        </w:rPr>
      </w:pPr>
      <w:r>
        <w:rPr>
          <w:rFonts w:ascii="Arial" w:cs="Arial" w:eastAsia="Arial" w:hAnsi="Arial"/>
          <w:sz w:val="20"/>
          <w:szCs w:val="20"/>
          <w:color w:val="auto"/>
        </w:rPr>
        <w:t>Production for the third quarter of 2025 was 2,399 MBOED, an increase of 482 MBOED from the same period a year ago. Adjusting for closed acquisitions and dispositions, third-quarter 2025 production increased 83 MBOED or 4% from the same period a year ago.</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Lower 48 delivered production of 1,528 MBOED, including 686 MBOED from the Delaware Basin, 196 MBOED from the Midland Basin, 403 MBOED from the Eagle Ford and 200 MBOED from the Bakken.</w:t>
      </w:r>
    </w:p>
    <w:p>
      <w:pPr>
        <w:spacing w:after="0" w:line="127" w:lineRule="exact"/>
        <w:rPr>
          <w:sz w:val="20"/>
          <w:szCs w:val="20"/>
          <w:color w:val="auto"/>
        </w:rPr>
      </w:pPr>
    </w:p>
    <w:p>
      <w:pPr>
        <w:jc w:val="both"/>
        <w:ind w:right="280"/>
        <w:spacing w:after="0" w:line="262" w:lineRule="auto"/>
        <w:rPr>
          <w:sz w:val="20"/>
          <w:szCs w:val="20"/>
          <w:color w:val="auto"/>
        </w:rPr>
      </w:pPr>
      <w:r>
        <w:rPr>
          <w:rFonts w:ascii="Arial" w:cs="Arial" w:eastAsia="Arial" w:hAnsi="Arial"/>
          <w:sz w:val="20"/>
          <w:szCs w:val="20"/>
          <w:color w:val="auto"/>
        </w:rPr>
        <w:t>Earnings and adjusted earnings decreased from the third quarter of 2024 as the impact of lower prices were partially offset by the benefits of the Marathon Oil acquisition and higher underlying production volumes. The company’s total average realized price was $46.44 per BOE, 14% lower than the $54.18 per BOE realized in the third quarter of 2024.</w:t>
      </w:r>
    </w:p>
    <w:p>
      <w:pPr>
        <w:spacing w:after="0" w:line="165"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color w:val="auto"/>
        </w:rPr>
        <w:t>For the quarter, cash provided by operating activities was $5.9 billion. Excluding a $0.5 billion change in operating working capital, ConocoPhillips generated CFO of $5.4 billion. In addition, ConocoPhillips received $0.3 billion of disposition proceeds from the sale of noncore assets. The company funded $2.9 billion of capital expenditures and investments, repurchased $1.3 billion of shares and paid $1.0 billion in ordinary dividends.</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Nine-month review</w:t>
      </w:r>
    </w:p>
    <w:p>
      <w:pPr>
        <w:spacing w:after="0" w:line="218"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ConocoPhillips’ nine-month 2025 earnings were $ 6.5 billion, or $5.18 per share, compared with nine-month 2024 earnings of $6.9 billion, or $5.91 per share. Nine-month 2025 adjusted earnings were $6.5 billion, or $5.12 per share, compared with nine-month 2024 adjusted earnings of $6.8 billion, or $5.80 per share.</w:t>
      </w:r>
    </w:p>
    <w:p>
      <w:pPr>
        <w:spacing w:after="0" w:line="151"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Production for the first nine months of 2025 was 2,393 MBOED, an increase of 472 MBOED from the same period a year ago. After adjusting for closed acquisitions and dispositions, production increased 92 MBOED or 4% from the same period a year ago.</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color w:val="auto"/>
        </w:rPr>
        <w:t>The company’s total realized price during this period was $48.49 per BOE, 13% lower than the $55.77 per BOE realized in the first nine months of 2024.</w:t>
      </w:r>
    </w:p>
    <w:p>
      <w:pPr>
        <w:spacing w:after="0" w:line="127" w:lineRule="exact"/>
        <w:rPr>
          <w:sz w:val="20"/>
          <w:szCs w:val="20"/>
          <w:color w:val="auto"/>
        </w:rPr>
      </w:pPr>
    </w:p>
    <w:p>
      <w:pPr>
        <w:ind w:right="660"/>
        <w:spacing w:after="0" w:line="286" w:lineRule="auto"/>
        <w:rPr>
          <w:sz w:val="20"/>
          <w:szCs w:val="20"/>
          <w:color w:val="auto"/>
        </w:rPr>
      </w:pPr>
      <w:r>
        <w:rPr>
          <w:rFonts w:ascii="Arial" w:cs="Arial" w:eastAsia="Arial" w:hAnsi="Arial"/>
          <w:sz w:val="20"/>
          <w:szCs w:val="20"/>
          <w:color w:val="auto"/>
        </w:rPr>
        <w:t>In the first nine months of 2025, cash provided by operating activities was $15.5 billion. Excluding a $0.1 billion change in operating working capital, ConocoPhillips generated CFO of $15.6 billion and received disposition</w:t>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ConocoPhillips announces third-quarter 2025 results; increases quarterly ordinary dividend by 8% and announces preliminary 2026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86" w:lineRule="auto"/>
        <w:rPr>
          <w:sz w:val="20"/>
          <w:szCs w:val="20"/>
          <w:color w:val="auto"/>
        </w:rPr>
      </w:pPr>
      <w:r>
        <w:rPr>
          <w:rFonts w:ascii="Arial" w:cs="Arial" w:eastAsia="Arial" w:hAnsi="Arial"/>
          <w:sz w:val="20"/>
          <w:szCs w:val="20"/>
          <w:color w:val="auto"/>
        </w:rPr>
        <w:t>proceeds of $1.6 billion. The company funded $9.5 billion of capital expenditures and investments, repurchased $4.0 billion of shares, paid $3.0 billion in ordinary dividends and retired debt of $0.7 billion at maturity.</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204" w:lineRule="exact"/>
        <w:rPr>
          <w:sz w:val="20"/>
          <w:szCs w:val="20"/>
          <w:color w:val="auto"/>
        </w:rPr>
      </w:pPr>
    </w:p>
    <w:p>
      <w:pPr>
        <w:ind w:right="440"/>
        <w:spacing w:after="0" w:line="271" w:lineRule="auto"/>
        <w:rPr>
          <w:sz w:val="20"/>
          <w:szCs w:val="20"/>
          <w:color w:val="auto"/>
        </w:rPr>
      </w:pPr>
      <w:r>
        <w:rPr>
          <w:rFonts w:ascii="Arial" w:cs="Arial" w:eastAsia="Arial" w:hAnsi="Arial"/>
          <w:sz w:val="20"/>
          <w:szCs w:val="20"/>
          <w:color w:val="auto"/>
        </w:rPr>
        <w:t>Fourth-quarter 2025 production is expected to be 2.30 to 2.34 million barrels of oil equivalent per day (MMBOED). Full-year production guidance has been raised to 2.375 MMBOED, compared to prior guidance of 2.35 to 2.37 MMBOED.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Full-year adjusted operating cost guidance is lowered to $10.6 billion versus prior guidance of $10.7 to $10.9 billion.</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company provided preliminary guidance for 2026. Capital expenditures are expected to be approximately $12 billion, down $0.5 billion from the midpoint of 2025 guidance. Adjusted operating costs are expected to be $10.2 billion, down $0.4 billion from 2025 guidance. The company also expects 0 to 2% underlying production growth.</w:t>
      </w:r>
    </w:p>
    <w:p>
      <w:pPr>
        <w:spacing w:after="0" w:line="354"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 xml:space="preserve">ConocoPhillips will host a conference call today at 12:00 p.m. Eastern time to discuss this announcement. To listen to the call and view related presentation materials and supplemental information, go to </w:t>
      </w:r>
      <w:r>
        <w:rPr>
          <w:rFonts w:ascii="Arial" w:cs="Arial" w:eastAsia="Arial" w:hAnsi="Arial"/>
          <w:sz w:val="20"/>
          <w:szCs w:val="20"/>
          <w:i w:val="1"/>
          <w:iCs w:val="1"/>
          <w:color w:val="auto"/>
        </w:rPr>
        <w:t>www.conocophillips.com/investor</w:t>
      </w:r>
      <w:r>
        <w:rPr>
          <w:rFonts w:ascii="Arial" w:cs="Arial" w:eastAsia="Arial" w:hAnsi="Arial"/>
          <w:sz w:val="20"/>
          <w:szCs w:val="20"/>
          <w:color w:val="auto"/>
        </w:rPr>
        <w:t>. A recording and transcript of the call will be posted afterward.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ConocoPhillips</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As a leading global exploration and production company, ConocoPhillips is uniquely equipped to deliver reliable, responsibly produced oil and gas. Our deep, durable and diverse portfolio is built to meet growing global energy demands. Together with our high-performing operations and continuously advancing technology, we are well positioned to deliver strong, consistent financial results, now and for decades to come. Visit us at www.conocophillips.com.</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Dennis Nuss (media)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281-293-1149</w:t>
      </w:r>
    </w:p>
    <w:p>
      <w:pPr>
        <w:spacing w:after="0"/>
        <w:rPr>
          <w:sz w:val="20"/>
          <w:szCs w:val="20"/>
          <w:color w:val="auto"/>
        </w:rPr>
      </w:pPr>
      <w:r>
        <w:rPr>
          <w:rFonts w:ascii="Arial" w:cs="Arial" w:eastAsia="Arial" w:hAnsi="Arial"/>
          <w:sz w:val="20"/>
          <w:szCs w:val="20"/>
          <w:i w:val="1"/>
          <w:iCs w:val="1"/>
          <w:color w:val="auto"/>
        </w:rPr>
        <w:t>dennis.nuss@conocophillips.com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281-293-5000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investor.relations@conocophillips.com</w:t>
      </w:r>
    </w:p>
    <w:p>
      <w:pPr>
        <w:spacing w:after="0" w:line="381"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b w:val="1"/>
          <w:bCs w:val="1"/>
          <w:u w:val="single" w:color="auto"/>
          <w:color w:val="auto"/>
        </w:rPr>
        <w:t>CAUTIONARY STATEMENT FOR THE PURPOSES OF THE "SAFE HARBOR" PROVISIONS OF THE PRIVATE SECURITIES LITIGATION REFORM ACT OF 1995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news release contains forward-looking statements as defined under the federal securities laws. Forward-looking statements relate to future events, including, without limitation, statements regarding our future financial position, business strategy, budgets, projected revenues, costs and plans, objectives of management for future operations, the anticipated benefits of our acquisition of Marathon Oil Corporation (Marathon Oil), the anticipated impact of our acquisition of Marathon Oil on the combined company’s business and future financial and operating results and the expected amount and timing of synergies from our acquisition of Marathon Oil and other aspects of our operations or operating results. Words and phrases such as “ambition,” “anticipate,” “believe,” “budget,” “continue,” “could,” “effort,” “estimate,” “expect,” “forecast,” “goal,” “guidance,” “intend,” “may,” “objective,” “outlook,” “plan,” “potential,” “predict,” “projection,” “seek,” “should,” “target,” “will,” “would,” and other similar words can be used to identify forward-looking statements. However, the absence of these words does not mean that the statements are not forward-looking. Where, in any forward-looking statement, the company expresses an expectation or belief as to future results, such expectation or belief is expressed in good</w:t>
      </w:r>
    </w:p>
    <w:p>
      <w:pPr>
        <w:sectPr>
          <w:pgSz w:w="11900" w:h="16838" w:orient="portrait"/>
          <w:cols w:equalWidth="0" w:num="1">
            <w:col w:w="11220"/>
          </w:cols>
          <w:pgMar w:left="320" w:top="127"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ConocoPhillips announces third-quarter 2025 results; increases quarterly ordinary dividend by 8% and announces preliminary 2026 guidance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faith and believed to be reasonable at the time such forward-looking statement is made. However, these statements are not guarantees of future performance and involve certain risks, uncertainties and other factors beyond our control. Therefore, actual outcomes and results may differ materially from what is expressed or forecast in the forward-looking statements. Factors that could cause actual results or events to differ materially from what is presented include, but are not limited to, the following: effects of volatile commodity prices, including prolonged periods of low commodity prices, which may adversely impact our operating results and our ability to execute on our strategy and could result in recognition of impairment charges on our long-lived assets, leaseholds and nonconsolidated equity investments; global and regional changes in the demand, supply, prices, differentials or other market conditions affecting oil and gas, including changes as a result of any ongoing military conflict and the global response to such conflict, security threats on facilities and infrastructure, global health crises, the imposition or lifting of crude oil production quotas or other actions that might be imposed by OPEC and other producing countries or the resulting company or third-party actions in response to such changes; the potential for insufficient liquidity or other factors, such as those described herein, that could impact our ability to repurchase shares and declare and pay dividends, whether fixed or variable; potential failures or delays in achieving expected reserve or production levels from existing and future oil and gas developments, including due to operating hazards, drilling risks and the inherent uncertainties in predicting reserves and reservoir performance; reductions in our reserve replacement rates, whether as a result of significant declines in commodity prices or otherwise; unsuccessful exploratory drilling activities or the inability to obtain access to exploratory acreage; failure to progress or complete announced and future development plans related to constructing, modifying or operating E&amp;P and LNG facilities, or unexpected changes in costs, inflationary pressures or technical equipment related to such plans; significant operational or investment changes imposed by legislative and regulatory initiatives and international agreements addressing environmental concerns, including initiatives addressing the impact of global climate change, such as limiting or reducing GHG emissions, regulations concerning hydraulic fracturing, methane emissions, flaring or water disposal and prohibitions on commodity exports; broader societal attention to and efforts to address climate change may cause substantial investment in and increased adoption of competing or alternative energy sources; risks, uncertainties and high costs that may prevent us from successfully executing on our Climate Risk Strategy; lack or inadequacy of, or disruptions in reliable transportation for our crude oil, bitumen, natural gas, LNG and NGLs; inability to timely obtain or maintain permits, including those necessary for construction, drilling and/or development, or inability to make capital expenditures required to maintain compliance with any necessary permits or applicable laws or regulations; potential disruption or interruption of our operations and any resulting consequences due to accidents, extraordinary weather events, supply chain disruptions, civil unrest, political events, war, terrorism, cybersecurity threats or information technology failures, constraints or disruptions; liability for remedial actions, including removal and reclamation obligations, under existing or future environmental regulations and litigation; liability resulting from pending or future litigation or our failure to comply with applicable laws and regulations; general domestic and international economic, political and diplomatic developments, including deterioration of international trade relationships, the imposition of trade restrictions or tariffs relating to commodities and material or products (such as aluminum and steel) used in the operation of our business, expropriation of assets, changes in governmental policies relating to commodity pricing, including the imposition of price caps, sanctions or other adverse regulations or taxation policies; competition and consolidation in the oil and gas E&amp;P industry, including competition for sources of supply, services, personnel and equipment; any limitations on our access to capital or increase in our cost of capital or insurance, including as a result of illiquidity, changes or uncertainty in domestic or international financial markets, foreign currency exchange rate fluctuations or investment sentiment; challenges or delays to our execution of, or successful implementation of the acquisition of Marathon Oil or any future asset dispositions or acquisitions we elect to pursue; potential disruption of our operations, including the diversion of management time and attention; our inability to realize anticipated cost savings or capital expenditure reductions; difficulties integrating acquired businesses and technologies; or other unanticipated changes; our inability to deploy the net proceeds from any asset dispositions that are pending or that we elect to undertake in the future in the manner and timeframe we anticipate, if at all; the operation, financing and management of risks of our joint ventures; the ability of our customers and other contractual counterparties to satisfy their obligations to us, including our ability to collect payments when due from the government of Venezuela or PDVSA; uncertainty as to the long-term value of our common stock; and other economic, business, competitive and/or regulatory factors affecting our business generally as set forth in our filings with the Securities and Exchange Commission. Unless legally required, ConocoPhillips expressly disclaims any obligation to update any forward-looking statements, whether as a result of new information, future events or otherwise.</w:t>
      </w:r>
    </w:p>
    <w:p>
      <w:pPr>
        <w:spacing w:after="0" w:line="26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 xml:space="preserve">Cautionary Note to U.S. Investors </w:t>
      </w:r>
      <w:r>
        <w:rPr>
          <w:rFonts w:ascii="Arial" w:cs="Arial" w:eastAsia="Arial" w:hAnsi="Arial"/>
          <w:sz w:val="16"/>
          <w:szCs w:val="16"/>
          <w:i w:val="1"/>
          <w:iCs w:val="1"/>
          <w:color w:val="auto"/>
        </w:rPr>
        <w:t>– The SEC permits oil and gas companies, in their filings with the SEC, to disclose only proved, probable and possible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reserves. We may use the term “resource” in this news release that the SEC’s guidelines prohibit us from including in filings with the SEC. U.S. investors are urged to consider closely the oil and gas disclosures in our Form 10-K and other reports and filings with the SEC. Copies are available from the SEC and from the ConocoPhillips website.</w:t>
      </w:r>
    </w:p>
    <w:p>
      <w:pPr>
        <w:spacing w:after="0" w:line="122"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b w:val="1"/>
          <w:bCs w:val="1"/>
          <w:i w:val="1"/>
          <w:iCs w:val="1"/>
          <w:color w:val="auto"/>
        </w:rPr>
        <w:t xml:space="preserve">Use of Non-GAAP Financial Information </w:t>
      </w:r>
      <w:r>
        <w:rPr>
          <w:rFonts w:ascii="Arial" w:cs="Arial" w:eastAsia="Arial" w:hAnsi="Arial"/>
          <w:sz w:val="16"/>
          <w:szCs w:val="16"/>
          <w:i w:val="1"/>
          <w:iCs w:val="1"/>
          <w:color w:val="auto"/>
        </w:rPr>
        <w:t>– To supplement the presentation of the company’s financial results prepared in accordance with U.S.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accepted accounting principles (GAAP), this news release and the accompanying supplemental financial information contain certain financial measures that are not prepared in accordance with GAAP, including adjusted earnings (calculated on a consolidated and on a segment-level basis), adjusted earnings per share (EPS), free cash flow (FCF) and cash from operations (CFO).</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i w:val="1"/>
          <w:iCs w:val="1"/>
          <w:color w:val="auto"/>
        </w:rPr>
        <w:t>The company believes that the non-GAAP measure adjusted earnings (both on an aggregate and a per-share basis) is useful to investors to help facilitate comparisons of the company’s operating performance associated with the company’s core business operations across periods on a consistent basis and with the performance and cost structures of peer companies by excluding items that do not directly relate to the company’s core business operations. Adjusted earnings is defined as earnings removing the impact of special items. Adjusted EPS is a measure of the company’s diluted net earnings per share excluding special items. The company further believes that the non-GAAP measure CFO is useful to investors to help understand changes in cash provided by operating activities excluding the timing effects associated with operating working capital changes across periods on a consistent basis and with the performance of peer companies. The company believes that the above-mentioned non-GAAP measures, when viewed in combination with the company’s results prepared in accordance with GAAP, provides a more complete understanding of the factors and trends affecting the company’s business and performance. The company’s Board of Directors and management also use these non-GAAP measures to analyze the company’s operating performance across periods when overseeing and managing the company’s business.</w:t>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color w:val="auto"/>
        </w:rPr>
        <w:t>ConocoPhillips announces third-quarter 2025 results; increases quarterly ordinary dividend by 8% and announces preliminary 2026 guidance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Each of the non-GAAP measures included in this news release and the accompanying supplemental financial information has limitations as an analytical tool and should not be considered in isolation or as a substitute for an analysis of the company’s results calculated in accordance with GAAP. In addition, because not all companies use identical calculations, the company’s presentation of non-GAAP measures in this news release and the accompanying supplemental financial information may not be comparable to similarly titled measures disclosed by other companies, including companies in our industry. The company may also change the calculation of any of the non-GAAP measures included in this news release and the accompanying supplemental financial information from time to time in light of its then existing operations to include other adjustments that may impact its operations.</w:t>
      </w:r>
    </w:p>
    <w:p>
      <w:pPr>
        <w:spacing w:after="0" w:line="12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Reconciliations of each non-GAAP measure presented in this news release to the most directly comparable financial measure calculated in accordance with GAAP are included in the release.</w:t>
      </w:r>
    </w:p>
    <w:p>
      <w:pPr>
        <w:spacing w:after="0" w:line="92"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i w:val="1"/>
          <w:iCs w:val="1"/>
          <w:color w:val="auto"/>
        </w:rPr>
        <w:t>Other Terms – This news release also contains the term pro forma underlying production. Pro forma underlying production reflects the impact of closed acquisitions and closed dispositions as of September 30, 2025. The impact of closed acquisitions and dispositions assumes a closing date of January 1, 2024. The company believes that underlying production is useful to investors to compare production reflecting the impact of closed acquisitions and dispositions on a consistent go-forward basis across periods and with peer companies. Return of capital is defined as the total of the ordinary dividend and share repurchases. References in the release to project capital exclude capitalized interest and references to earnings refer to net income.</w:t>
      </w:r>
    </w:p>
    <w:p>
      <w:pPr>
        <w:sectPr>
          <w:pgSz w:w="11900" w:h="16838" w:orient="portrait"/>
          <w:cols w:equalWidth="0" w:num="1">
            <w:col w:w="11220"/>
          </w:cols>
          <w:pgMar w:left="320" w:top="127"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color w:val="auto"/>
        </w:rPr>
        <w:t>ConocoPhillips announces third-quarter 2025 results; increases quarterly ordinary dividend by 8% and announces preliminary 2026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046595" cy="2280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ConocoPhillips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 Reconciliation of earnings to adjusted</w:t>
      </w:r>
    </w:p>
    <w:p>
      <w:pPr>
        <w:ind w:left="40"/>
        <w:spacing w:after="0"/>
        <w:rPr>
          <w:sz w:val="20"/>
          <w:szCs w:val="20"/>
          <w:color w:val="auto"/>
        </w:rPr>
      </w:pPr>
      <w:r>
        <w:rPr>
          <w:rFonts w:ascii="Arial" w:cs="Arial" w:eastAsia="Arial" w:hAnsi="Arial"/>
          <w:sz w:val="18"/>
          <w:szCs w:val="18"/>
          <w:b w:val="1"/>
          <w:bCs w:val="1"/>
          <w:color w:val="auto"/>
        </w:rPr>
        <w:t>earnings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millions, except as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3Q25</w:t>
            </w:r>
          </w:p>
        </w:tc>
        <w:tc>
          <w:tcPr>
            <w:tcW w:w="3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326"/>
              <w:spacing w:after="0"/>
              <w:rPr>
                <w:sz w:val="20"/>
                <w:szCs w:val="20"/>
                <w:color w:val="auto"/>
              </w:rPr>
            </w:pPr>
            <w:r>
              <w:rPr>
                <w:rFonts w:ascii="Arial" w:cs="Arial" w:eastAsia="Arial" w:hAnsi="Arial"/>
                <w:sz w:val="13"/>
                <w:szCs w:val="13"/>
                <w:b w:val="1"/>
                <w:bCs w:val="1"/>
                <w:color w:val="auto"/>
              </w:rPr>
              <w:t>3Q24</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226"/>
              <w:spacing w:after="0"/>
              <w:rPr>
                <w:sz w:val="20"/>
                <w:szCs w:val="20"/>
                <w:color w:val="auto"/>
              </w:rPr>
            </w:pPr>
            <w:r>
              <w:rPr>
                <w:rFonts w:ascii="Arial" w:cs="Arial" w:eastAsia="Arial" w:hAnsi="Arial"/>
                <w:sz w:val="13"/>
                <w:szCs w:val="13"/>
                <w:b w:val="1"/>
                <w:bCs w:val="1"/>
                <w:color w:val="auto"/>
              </w:rPr>
              <w:t>2025 YTD</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3"/>
                <w:szCs w:val="13"/>
                <w:b w:val="1"/>
                <w:bCs w:val="1"/>
                <w:color w:val="auto"/>
              </w:rPr>
              <w:t>2024 YTD</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b w:val="1"/>
                <w:bCs w:val="1"/>
                <w:color w:val="auto"/>
              </w:rPr>
              <w:t>Pre-tax</w:t>
            </w:r>
          </w:p>
        </w:tc>
        <w:tc>
          <w:tcPr>
            <w:tcW w:w="1080" w:type="dxa"/>
            <w:vAlign w:val="bottom"/>
            <w:gridSpan w:val="2"/>
          </w:tcPr>
          <w:p>
            <w:pPr>
              <w:jc w:val="right"/>
              <w:spacing w:after="0"/>
              <w:rPr>
                <w:sz w:val="20"/>
                <w:szCs w:val="20"/>
                <w:color w:val="auto"/>
              </w:rPr>
            </w:pPr>
            <w:r>
              <w:rPr>
                <w:rFonts w:ascii="Arial" w:cs="Arial" w:eastAsia="Arial" w:hAnsi="Arial"/>
                <w:sz w:val="11"/>
                <w:szCs w:val="11"/>
                <w:b w:val="1"/>
                <w:bCs w:val="1"/>
                <w:color w:val="auto"/>
              </w:rPr>
              <w:t>Income   After-tax</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Per share</w:t>
            </w: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Pre-tax</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Income</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After-tax</w:t>
            </w:r>
          </w:p>
        </w:tc>
        <w:tc>
          <w:tcPr>
            <w:tcW w:w="6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Per share</w:t>
            </w:r>
          </w:p>
        </w:tc>
        <w:tc>
          <w:tcPr>
            <w:tcW w:w="580" w:type="dxa"/>
            <w:vAlign w:val="bottom"/>
          </w:tcPr>
          <w:p>
            <w:pPr>
              <w:jc w:val="right"/>
              <w:ind w:right="66"/>
              <w:spacing w:after="0"/>
              <w:rPr>
                <w:sz w:val="20"/>
                <w:szCs w:val="20"/>
                <w:color w:val="auto"/>
              </w:rPr>
            </w:pPr>
            <w:r>
              <w:rPr>
                <w:rFonts w:ascii="Arial" w:cs="Arial" w:eastAsia="Arial" w:hAnsi="Arial"/>
                <w:sz w:val="11"/>
                <w:szCs w:val="11"/>
                <w:b w:val="1"/>
                <w:bCs w:val="1"/>
                <w:color w:val="auto"/>
              </w:rPr>
              <w:t>Pre-tax</w:t>
            </w:r>
          </w:p>
        </w:tc>
        <w:tc>
          <w:tcPr>
            <w:tcW w:w="560" w:type="dxa"/>
            <w:vAlign w:val="bottom"/>
          </w:tcPr>
          <w:p>
            <w:pPr>
              <w:jc w:val="right"/>
              <w:ind w:right="65"/>
              <w:spacing w:after="0"/>
              <w:rPr>
                <w:sz w:val="20"/>
                <w:szCs w:val="20"/>
                <w:color w:val="auto"/>
              </w:rPr>
            </w:pPr>
            <w:r>
              <w:rPr>
                <w:rFonts w:ascii="Arial" w:cs="Arial" w:eastAsia="Arial" w:hAnsi="Arial"/>
                <w:sz w:val="11"/>
                <w:szCs w:val="11"/>
                <w:b w:val="1"/>
                <w:bCs w:val="1"/>
                <w:color w:val="auto"/>
              </w:rPr>
              <w:t>Income</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After-tax</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Per share</w:t>
            </w:r>
          </w:p>
        </w:tc>
        <w:tc>
          <w:tcPr>
            <w:tcW w:w="580" w:type="dxa"/>
            <w:vAlign w:val="bottom"/>
          </w:tcPr>
          <w:p>
            <w:pPr>
              <w:jc w:val="right"/>
              <w:ind w:right="66"/>
              <w:spacing w:after="0"/>
              <w:rPr>
                <w:sz w:val="20"/>
                <w:szCs w:val="20"/>
                <w:color w:val="auto"/>
              </w:rPr>
            </w:pPr>
            <w:r>
              <w:rPr>
                <w:rFonts w:ascii="Arial" w:cs="Arial" w:eastAsia="Arial" w:hAnsi="Arial"/>
                <w:sz w:val="11"/>
                <w:szCs w:val="11"/>
                <w:b w:val="1"/>
                <w:bCs w:val="1"/>
                <w:color w:val="auto"/>
              </w:rPr>
              <w:t>Pre-tax</w:t>
            </w:r>
          </w:p>
        </w:tc>
        <w:tc>
          <w:tcPr>
            <w:tcW w:w="560" w:type="dxa"/>
            <w:vAlign w:val="bottom"/>
          </w:tcPr>
          <w:p>
            <w:pPr>
              <w:jc w:val="right"/>
              <w:ind w:right="65"/>
              <w:spacing w:after="0"/>
              <w:rPr>
                <w:sz w:val="20"/>
                <w:szCs w:val="20"/>
                <w:color w:val="auto"/>
              </w:rPr>
            </w:pPr>
            <w:r>
              <w:rPr>
                <w:rFonts w:ascii="Arial" w:cs="Arial" w:eastAsia="Arial" w:hAnsi="Arial"/>
                <w:sz w:val="11"/>
                <w:szCs w:val="11"/>
                <w:b w:val="1"/>
                <w:bCs w:val="1"/>
                <w:color w:val="auto"/>
              </w:rPr>
              <w:t>Income</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After-tax</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9"/>
              </w:rPr>
              <w:t>Per share</w:t>
            </w: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jc w:val="right"/>
              <w:ind w:right="325"/>
              <w:spacing w:after="0" w:line="122" w:lineRule="exact"/>
              <w:rPr>
                <w:sz w:val="20"/>
                <w:szCs w:val="20"/>
                <w:color w:val="auto"/>
              </w:rPr>
            </w:pPr>
            <w:r>
              <w:rPr>
                <w:rFonts w:ascii="Arial" w:cs="Arial" w:eastAsia="Arial" w:hAnsi="Arial"/>
                <w:sz w:val="11"/>
                <w:szCs w:val="11"/>
                <w:b w:val="1"/>
                <w:bCs w:val="1"/>
                <w:color w:val="auto"/>
              </w:rPr>
              <w:t>tax</w:t>
            </w:r>
          </w:p>
        </w:tc>
        <w:tc>
          <w:tcPr>
            <w:tcW w:w="36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of</w:t>
            </w:r>
          </w:p>
        </w:tc>
        <w:tc>
          <w:tcPr>
            <w:tcW w:w="560" w:type="dxa"/>
            <w:vAlign w:val="bottom"/>
          </w:tcPr>
          <w:p>
            <w:pPr>
              <w:spacing w:after="0"/>
              <w:rPr>
                <w:sz w:val="10"/>
                <w:szCs w:val="10"/>
                <w:color w:val="auto"/>
              </w:rPr>
            </w:pPr>
          </w:p>
        </w:tc>
        <w:tc>
          <w:tcPr>
            <w:tcW w:w="56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tax</w:t>
            </w:r>
          </w:p>
        </w:tc>
        <w:tc>
          <w:tcPr>
            <w:tcW w:w="52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of</w:t>
            </w:r>
          </w:p>
        </w:tc>
        <w:tc>
          <w:tcPr>
            <w:tcW w:w="580" w:type="dxa"/>
            <w:vAlign w:val="bottom"/>
          </w:tcPr>
          <w:p>
            <w:pPr>
              <w:spacing w:after="0"/>
              <w:rPr>
                <w:sz w:val="10"/>
                <w:szCs w:val="10"/>
                <w:color w:val="auto"/>
              </w:rPr>
            </w:pPr>
          </w:p>
        </w:tc>
        <w:tc>
          <w:tcPr>
            <w:tcW w:w="560" w:type="dxa"/>
            <w:vAlign w:val="bottom"/>
          </w:tcPr>
          <w:p>
            <w:pPr>
              <w:jc w:val="right"/>
              <w:ind w:right="165"/>
              <w:spacing w:after="0" w:line="122" w:lineRule="exact"/>
              <w:rPr>
                <w:sz w:val="20"/>
                <w:szCs w:val="20"/>
                <w:color w:val="auto"/>
              </w:rPr>
            </w:pPr>
            <w:r>
              <w:rPr>
                <w:rFonts w:ascii="Arial" w:cs="Arial" w:eastAsia="Arial" w:hAnsi="Arial"/>
                <w:sz w:val="11"/>
                <w:szCs w:val="11"/>
                <w:b w:val="1"/>
                <w:bCs w:val="1"/>
                <w:color w:val="auto"/>
              </w:rPr>
              <w:t>tax</w:t>
            </w:r>
          </w:p>
        </w:tc>
        <w:tc>
          <w:tcPr>
            <w:tcW w:w="54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rPr>
              <w:t>of</w:t>
            </w:r>
          </w:p>
        </w:tc>
        <w:tc>
          <w:tcPr>
            <w:tcW w:w="580" w:type="dxa"/>
            <w:vAlign w:val="bottom"/>
          </w:tcPr>
          <w:p>
            <w:pPr>
              <w:spacing w:after="0"/>
              <w:rPr>
                <w:sz w:val="10"/>
                <w:szCs w:val="10"/>
                <w:color w:val="auto"/>
              </w:rPr>
            </w:pPr>
          </w:p>
        </w:tc>
        <w:tc>
          <w:tcPr>
            <w:tcW w:w="560" w:type="dxa"/>
            <w:vAlign w:val="bottom"/>
          </w:tcPr>
          <w:p>
            <w:pPr>
              <w:jc w:val="right"/>
              <w:ind w:right="165"/>
              <w:spacing w:after="0" w:line="122" w:lineRule="exact"/>
              <w:rPr>
                <w:sz w:val="20"/>
                <w:szCs w:val="20"/>
                <w:color w:val="auto"/>
              </w:rPr>
            </w:pPr>
            <w:r>
              <w:rPr>
                <w:rFonts w:ascii="Arial" w:cs="Arial" w:eastAsia="Arial" w:hAnsi="Arial"/>
                <w:sz w:val="11"/>
                <w:szCs w:val="11"/>
                <w:b w:val="1"/>
                <w:bCs w:val="1"/>
                <w:color w:val="auto"/>
              </w:rPr>
              <w:t>tax</w:t>
            </w:r>
          </w:p>
        </w:tc>
        <w:tc>
          <w:tcPr>
            <w:tcW w:w="54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common</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common</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common</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common</w:t>
            </w: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stock</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7"/>
              </w:rPr>
              <w:t>stock</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stock</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stock</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(dollars)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(dollars)</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(dollars)</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6"/>
              </w:rPr>
              <w:t>(dollars)</w:t>
            </w:r>
          </w:p>
        </w:tc>
        <w:tc>
          <w:tcPr>
            <w:tcW w:w="0" w:type="dxa"/>
            <w:vAlign w:val="bottom"/>
          </w:tcPr>
          <w:p>
            <w:pPr>
              <w:spacing w:after="0"/>
              <w:rPr>
                <w:sz w:val="1"/>
                <w:szCs w:val="1"/>
                <w:color w:val="auto"/>
              </w:rPr>
            </w:pPr>
          </w:p>
        </w:tc>
      </w:tr>
      <w:tr>
        <w:trPr>
          <w:trHeight w:val="176"/>
        </w:trPr>
        <w:tc>
          <w:tcPr>
            <w:tcW w:w="1900" w:type="dxa"/>
            <w:vAlign w:val="bottom"/>
          </w:tcPr>
          <w:p>
            <w:pPr>
              <w:ind w:left="40"/>
              <w:spacing w:after="0"/>
              <w:rPr>
                <w:sz w:val="20"/>
                <w:szCs w:val="20"/>
                <w:color w:val="auto"/>
              </w:rPr>
            </w:pPr>
            <w:r>
              <w:rPr>
                <w:rFonts w:ascii="Arial" w:cs="Arial" w:eastAsia="Arial" w:hAnsi="Arial"/>
                <w:sz w:val="11"/>
                <w:szCs w:val="11"/>
                <w:b w:val="1"/>
                <w:bCs w:val="1"/>
                <w:color w:val="auto"/>
              </w:rPr>
              <w:t>Earnings</w:t>
            </w:r>
          </w:p>
        </w:tc>
        <w:tc>
          <w:tcPr>
            <w:tcW w:w="56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jc w:val="right"/>
              <w:ind w:right="6"/>
              <w:spacing w:after="0"/>
              <w:rPr>
                <w:sz w:val="20"/>
                <w:szCs w:val="20"/>
                <w:color w:val="auto"/>
              </w:rPr>
            </w:pPr>
            <w:r>
              <w:rPr>
                <w:rFonts w:ascii="Arial" w:cs="Arial" w:eastAsia="Arial" w:hAnsi="Arial"/>
                <w:sz w:val="11"/>
                <w:szCs w:val="11"/>
                <w:b w:val="1"/>
                <w:bCs w:val="1"/>
                <w:color w:val="auto"/>
              </w:rPr>
              <w:t>1,726</w:t>
            </w: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1.38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2,059</w:t>
            </w: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1.76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6,546</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5.18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6,939</w:t>
            </w: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5.91</w:t>
            </w:r>
          </w:p>
        </w:tc>
        <w:tc>
          <w:tcPr>
            <w:tcW w:w="0" w:type="dxa"/>
            <w:vAlign w:val="bottom"/>
          </w:tcPr>
          <w:p>
            <w:pPr>
              <w:spacing w:after="0"/>
              <w:rPr>
                <w:sz w:val="1"/>
                <w:szCs w:val="1"/>
                <w:color w:val="auto"/>
              </w:rPr>
            </w:pPr>
          </w:p>
        </w:tc>
      </w:tr>
      <w:tr>
        <w:trPr>
          <w:trHeight w:val="156"/>
        </w:trPr>
        <w:tc>
          <w:tcPr>
            <w:tcW w:w="1900" w:type="dxa"/>
            <w:vAlign w:val="bottom"/>
          </w:tcPr>
          <w:p>
            <w:pPr>
              <w:ind w:left="40"/>
              <w:spacing w:after="0"/>
              <w:rPr>
                <w:sz w:val="20"/>
                <w:szCs w:val="20"/>
                <w:color w:val="auto"/>
              </w:rPr>
            </w:pPr>
            <w:r>
              <w:rPr>
                <w:rFonts w:ascii="Arial" w:cs="Arial" w:eastAsia="Arial" w:hAnsi="Arial"/>
                <w:sz w:val="11"/>
                <w:szCs w:val="11"/>
                <w:color w:val="auto"/>
              </w:rPr>
              <w:t>Adjustments:</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1"/>
                <w:szCs w:val="11"/>
                <w:color w:val="auto"/>
              </w:rPr>
              <w:t>(Gain) loss on asset sales</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(338)</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23</w:t>
            </w:r>
          </w:p>
        </w:tc>
        <w:tc>
          <w:tcPr>
            <w:tcW w:w="540" w:type="dxa"/>
            <w:vAlign w:val="bottom"/>
          </w:tcPr>
          <w:p>
            <w:pPr>
              <w:jc w:val="right"/>
              <w:spacing w:after="0"/>
              <w:rPr>
                <w:sz w:val="20"/>
                <w:szCs w:val="20"/>
                <w:color w:val="auto"/>
              </w:rPr>
            </w:pPr>
            <w:r>
              <w:rPr>
                <w:rFonts w:ascii="Arial" w:cs="Arial" w:eastAsia="Arial" w:hAnsi="Arial"/>
                <w:sz w:val="11"/>
                <w:szCs w:val="11"/>
                <w:color w:val="auto"/>
              </w:rPr>
              <w:t>(315)</w:t>
            </w:r>
          </w:p>
        </w:tc>
        <w:tc>
          <w:tcPr>
            <w:tcW w:w="560" w:type="dxa"/>
            <w:vAlign w:val="bottom"/>
          </w:tcPr>
          <w:p>
            <w:pPr>
              <w:jc w:val="right"/>
              <w:spacing w:after="0"/>
              <w:rPr>
                <w:sz w:val="20"/>
                <w:szCs w:val="20"/>
                <w:color w:val="auto"/>
              </w:rPr>
            </w:pPr>
            <w:r>
              <w:rPr>
                <w:rFonts w:ascii="Arial" w:cs="Arial" w:eastAsia="Arial" w:hAnsi="Arial"/>
                <w:sz w:val="11"/>
                <w:szCs w:val="11"/>
                <w:color w:val="auto"/>
              </w:rPr>
              <w:t>(0.25)</w:t>
            </w:r>
          </w:p>
        </w:tc>
        <w:tc>
          <w:tcPr>
            <w:tcW w:w="10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(86)</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20</w:t>
            </w:r>
          </w:p>
        </w:tc>
        <w:tc>
          <w:tcPr>
            <w:tcW w:w="540" w:type="dxa"/>
            <w:vAlign w:val="bottom"/>
          </w:tcPr>
          <w:p>
            <w:pPr>
              <w:jc w:val="right"/>
              <w:spacing w:after="0"/>
              <w:rPr>
                <w:sz w:val="20"/>
                <w:szCs w:val="20"/>
                <w:color w:val="auto"/>
              </w:rPr>
            </w:pPr>
            <w:r>
              <w:rPr>
                <w:rFonts w:ascii="Arial" w:cs="Arial" w:eastAsia="Arial" w:hAnsi="Arial"/>
                <w:sz w:val="11"/>
                <w:szCs w:val="11"/>
                <w:color w:val="auto"/>
              </w:rPr>
              <w:t>(66)</w:t>
            </w:r>
          </w:p>
        </w:tc>
        <w:tc>
          <w:tcPr>
            <w:tcW w:w="580" w:type="dxa"/>
            <w:vAlign w:val="bottom"/>
          </w:tcPr>
          <w:p>
            <w:pPr>
              <w:jc w:val="right"/>
              <w:spacing w:after="0"/>
              <w:rPr>
                <w:sz w:val="20"/>
                <w:szCs w:val="20"/>
                <w:color w:val="auto"/>
              </w:rPr>
            </w:pPr>
            <w:r>
              <w:rPr>
                <w:rFonts w:ascii="Arial" w:cs="Arial" w:eastAsia="Arial" w:hAnsi="Arial"/>
                <w:sz w:val="11"/>
                <w:szCs w:val="11"/>
                <w:color w:val="auto"/>
              </w:rPr>
              <w:t>(0.06)</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1"/>
                <w:szCs w:val="11"/>
                <w:color w:val="auto"/>
              </w:rPr>
              <w:t>Tax adjustments</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(76)</w:t>
            </w:r>
          </w:p>
        </w:tc>
        <w:tc>
          <w:tcPr>
            <w:tcW w:w="540" w:type="dxa"/>
            <w:vAlign w:val="bottom"/>
          </w:tcPr>
          <w:p>
            <w:pPr>
              <w:jc w:val="right"/>
              <w:spacing w:after="0"/>
              <w:rPr>
                <w:sz w:val="20"/>
                <w:szCs w:val="20"/>
                <w:color w:val="auto"/>
              </w:rPr>
            </w:pPr>
            <w:r>
              <w:rPr>
                <w:rFonts w:ascii="Arial" w:cs="Arial" w:eastAsia="Arial" w:hAnsi="Arial"/>
                <w:sz w:val="11"/>
                <w:szCs w:val="11"/>
                <w:color w:val="auto"/>
              </w:rPr>
              <w:t>(76)</w:t>
            </w:r>
          </w:p>
        </w:tc>
        <w:tc>
          <w:tcPr>
            <w:tcW w:w="580" w:type="dxa"/>
            <w:vAlign w:val="bottom"/>
          </w:tcPr>
          <w:p>
            <w:pPr>
              <w:jc w:val="right"/>
              <w:spacing w:after="0"/>
              <w:rPr>
                <w:sz w:val="20"/>
                <w:szCs w:val="20"/>
                <w:color w:val="auto"/>
              </w:rPr>
            </w:pPr>
            <w:r>
              <w:rPr>
                <w:rFonts w:ascii="Arial" w:cs="Arial" w:eastAsia="Arial" w:hAnsi="Arial"/>
                <w:sz w:val="11"/>
                <w:szCs w:val="11"/>
                <w:color w:val="auto"/>
              </w:rPr>
              <w:t>(0.07)</w:t>
            </w:r>
          </w:p>
        </w:tc>
        <w:tc>
          <w:tcPr>
            <w:tcW w:w="0" w:type="dxa"/>
            <w:vAlign w:val="bottom"/>
          </w:tcPr>
          <w:p>
            <w:pPr>
              <w:spacing w:after="0"/>
              <w:rPr>
                <w:sz w:val="1"/>
                <w:szCs w:val="1"/>
                <w:color w:val="auto"/>
              </w:rPr>
            </w:pPr>
          </w:p>
        </w:tc>
      </w:tr>
      <w:tr>
        <w:trPr>
          <w:trHeight w:val="128"/>
        </w:trPr>
        <w:tc>
          <w:tcPr>
            <w:tcW w:w="1900" w:type="dxa"/>
            <w:vAlign w:val="bottom"/>
          </w:tcPr>
          <w:p>
            <w:pPr>
              <w:ind w:left="140"/>
              <w:spacing w:after="0"/>
              <w:rPr>
                <w:sz w:val="20"/>
                <w:szCs w:val="20"/>
                <w:color w:val="auto"/>
              </w:rPr>
            </w:pPr>
            <w:r>
              <w:rPr>
                <w:rFonts w:ascii="Arial" w:cs="Arial" w:eastAsia="Arial" w:hAnsi="Arial"/>
                <w:sz w:val="11"/>
                <w:szCs w:val="11"/>
                <w:color w:val="auto"/>
              </w:rPr>
              <w:t>Transaction, integration and</w:t>
            </w: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277</w:t>
            </w:r>
          </w:p>
        </w:tc>
        <w:tc>
          <w:tcPr>
            <w:tcW w:w="720" w:type="dxa"/>
            <w:vAlign w:val="bottom"/>
            <w:vMerge w:val="restart"/>
          </w:tcPr>
          <w:p>
            <w:pPr>
              <w:jc w:val="right"/>
              <w:ind w:right="165"/>
              <w:spacing w:after="0"/>
              <w:rPr>
                <w:sz w:val="20"/>
                <w:szCs w:val="20"/>
                <w:color w:val="auto"/>
              </w:rPr>
            </w:pPr>
            <w:r>
              <w:rPr>
                <w:rFonts w:ascii="Arial" w:cs="Arial" w:eastAsia="Arial" w:hAnsi="Arial"/>
                <w:sz w:val="11"/>
                <w:szCs w:val="11"/>
                <w:color w:val="auto"/>
              </w:rPr>
              <w:t>(65)</w:t>
            </w:r>
          </w:p>
        </w:tc>
        <w:tc>
          <w:tcPr>
            <w:tcW w:w="360" w:type="dxa"/>
            <w:vAlign w:val="bottom"/>
            <w:vMerge w:val="restart"/>
          </w:tcPr>
          <w:p>
            <w:pPr>
              <w:jc w:val="right"/>
              <w:ind w:right="6"/>
              <w:spacing w:after="0"/>
              <w:rPr>
                <w:sz w:val="20"/>
                <w:szCs w:val="20"/>
                <w:color w:val="auto"/>
              </w:rPr>
            </w:pPr>
            <w:r>
              <w:rPr>
                <w:rFonts w:ascii="Arial" w:cs="Arial" w:eastAsia="Arial" w:hAnsi="Arial"/>
                <w:sz w:val="11"/>
                <w:szCs w:val="11"/>
                <w:color w:val="auto"/>
              </w:rPr>
              <w:t>212</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0.18</w:t>
            </w:r>
          </w:p>
        </w:tc>
        <w:tc>
          <w:tcPr>
            <w:tcW w:w="80" w:type="dxa"/>
            <w:vAlign w:val="bottom"/>
          </w:tcPr>
          <w:p>
            <w:pPr>
              <w:spacing w:after="0"/>
              <w:rPr>
                <w:sz w:val="11"/>
                <w:szCs w:val="11"/>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28</w:t>
            </w: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(6)</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0.02</w:t>
            </w:r>
          </w:p>
        </w:tc>
        <w:tc>
          <w:tcPr>
            <w:tcW w:w="80" w:type="dxa"/>
            <w:vAlign w:val="bottom"/>
          </w:tcPr>
          <w:p>
            <w:pPr>
              <w:spacing w:after="0"/>
              <w:rPr>
                <w:sz w:val="11"/>
                <w:szCs w:val="11"/>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388</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(89)</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299</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28</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22</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42"/>
        </w:trPr>
        <w:tc>
          <w:tcPr>
            <w:tcW w:w="1900" w:type="dxa"/>
            <w:vAlign w:val="bottom"/>
          </w:tcPr>
          <w:p>
            <w:pPr>
              <w:ind w:left="140"/>
              <w:spacing w:after="0"/>
              <w:rPr>
                <w:sz w:val="20"/>
                <w:szCs w:val="20"/>
                <w:color w:val="auto"/>
              </w:rPr>
            </w:pPr>
            <w:r>
              <w:rPr>
                <w:rFonts w:ascii="Arial" w:cs="Arial" w:eastAsia="Arial" w:hAnsi="Arial"/>
                <w:sz w:val="11"/>
                <w:szCs w:val="11"/>
                <w:color w:val="auto"/>
              </w:rPr>
              <w:t>restructuring expenses</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1"/>
                <w:szCs w:val="11"/>
                <w:color w:val="auto"/>
              </w:rPr>
              <w:t>(Gain) loss in interest rate hedge¹</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720" w:type="dxa"/>
            <w:vAlign w:val="bottom"/>
          </w:tcPr>
          <w:p>
            <w:pPr>
              <w:jc w:val="right"/>
              <w:ind w:right="165"/>
              <w:spacing w:after="0"/>
              <w:rPr>
                <w:sz w:val="20"/>
                <w:szCs w:val="20"/>
                <w:color w:val="auto"/>
              </w:rPr>
            </w:pPr>
            <w:r>
              <w:rPr>
                <w:rFonts w:ascii="Arial" w:cs="Arial" w:eastAsia="Arial" w:hAnsi="Arial"/>
                <w:sz w:val="11"/>
                <w:szCs w:val="11"/>
                <w:color w:val="auto"/>
              </w:rPr>
              <w:t>(2)</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5</w:t>
            </w:r>
          </w:p>
        </w:tc>
        <w:tc>
          <w:tcPr>
            <w:tcW w:w="540" w:type="dxa"/>
            <w:vAlign w:val="bottom"/>
          </w:tcPr>
          <w:p>
            <w:pPr>
              <w:jc w:val="right"/>
              <w:spacing w:after="0"/>
              <w:rPr>
                <w:sz w:val="20"/>
                <w:szCs w:val="20"/>
                <w:color w:val="auto"/>
              </w:rPr>
            </w:pPr>
            <w:r>
              <w:rPr>
                <w:rFonts w:ascii="Arial" w:cs="Arial" w:eastAsia="Arial" w:hAnsi="Arial"/>
                <w:sz w:val="11"/>
                <w:szCs w:val="11"/>
                <w:color w:val="auto"/>
              </w:rPr>
              <w:t>(22)</w:t>
            </w:r>
          </w:p>
        </w:tc>
        <w:tc>
          <w:tcPr>
            <w:tcW w:w="56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1"/>
                <w:szCs w:val="11"/>
                <w:color w:val="auto"/>
              </w:rPr>
              <w:t>Pending claims and settlements</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(123)</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29</w:t>
            </w:r>
          </w:p>
        </w:tc>
        <w:tc>
          <w:tcPr>
            <w:tcW w:w="540" w:type="dxa"/>
            <w:vAlign w:val="bottom"/>
          </w:tcPr>
          <w:p>
            <w:pPr>
              <w:jc w:val="right"/>
              <w:spacing w:after="0"/>
              <w:rPr>
                <w:sz w:val="20"/>
                <w:szCs w:val="20"/>
                <w:color w:val="auto"/>
              </w:rPr>
            </w:pPr>
            <w:r>
              <w:rPr>
                <w:rFonts w:ascii="Arial" w:cs="Arial" w:eastAsia="Arial" w:hAnsi="Arial"/>
                <w:sz w:val="11"/>
                <w:szCs w:val="11"/>
                <w:color w:val="auto"/>
              </w:rPr>
              <w:t>(94)</w:t>
            </w:r>
          </w:p>
        </w:tc>
        <w:tc>
          <w:tcPr>
            <w:tcW w:w="560" w:type="dxa"/>
            <w:vAlign w:val="bottom"/>
          </w:tcPr>
          <w:p>
            <w:pPr>
              <w:jc w:val="right"/>
              <w:spacing w:after="0"/>
              <w:rPr>
                <w:sz w:val="20"/>
                <w:szCs w:val="20"/>
                <w:color w:val="auto"/>
              </w:rPr>
            </w:pPr>
            <w:r>
              <w:rPr>
                <w:rFonts w:ascii="Arial" w:cs="Arial" w:eastAsia="Arial" w:hAnsi="Arial"/>
                <w:sz w:val="11"/>
                <w:szCs w:val="11"/>
                <w:color w:val="auto"/>
              </w:rPr>
              <w:t>(0.07)</w:t>
            </w:r>
          </w:p>
        </w:tc>
        <w:tc>
          <w:tcPr>
            <w:tcW w:w="10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1900" w:type="dxa"/>
            <w:vAlign w:val="bottom"/>
          </w:tcPr>
          <w:p>
            <w:pPr>
              <w:ind w:left="140"/>
              <w:spacing w:after="0"/>
              <w:rPr>
                <w:sz w:val="20"/>
                <w:szCs w:val="20"/>
                <w:color w:val="auto"/>
              </w:rPr>
            </w:pPr>
            <w:r>
              <w:rPr>
                <w:rFonts w:ascii="Arial" w:cs="Arial" w:eastAsia="Arial" w:hAnsi="Arial"/>
                <w:sz w:val="11"/>
                <w:szCs w:val="11"/>
                <w:color w:val="auto"/>
              </w:rPr>
              <w:t>Other corporate charges</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82</w:t>
            </w:r>
          </w:p>
        </w:tc>
        <w:tc>
          <w:tcPr>
            <w:tcW w:w="720" w:type="dxa"/>
            <w:vAlign w:val="bottom"/>
          </w:tcPr>
          <w:p>
            <w:pPr>
              <w:jc w:val="right"/>
              <w:ind w:right="165"/>
              <w:spacing w:after="0"/>
              <w:rPr>
                <w:sz w:val="20"/>
                <w:szCs w:val="20"/>
                <w:color w:val="auto"/>
              </w:rPr>
            </w:pPr>
            <w:r>
              <w:rPr>
                <w:rFonts w:ascii="Arial" w:cs="Arial" w:eastAsia="Arial" w:hAnsi="Arial"/>
                <w:sz w:val="11"/>
                <w:szCs w:val="11"/>
                <w:color w:val="auto"/>
              </w:rPr>
              <w:t>(17)</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5"/>
                <w:szCs w:val="15"/>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82</w:t>
            </w:r>
          </w:p>
        </w:tc>
        <w:tc>
          <w:tcPr>
            <w:tcW w:w="560" w:type="dxa"/>
            <w:vAlign w:val="bottom"/>
          </w:tcPr>
          <w:p>
            <w:pPr>
              <w:jc w:val="right"/>
              <w:spacing w:after="0"/>
              <w:rPr>
                <w:sz w:val="20"/>
                <w:szCs w:val="20"/>
                <w:color w:val="auto"/>
              </w:rPr>
            </w:pPr>
            <w:r>
              <w:rPr>
                <w:rFonts w:ascii="Arial" w:cs="Arial" w:eastAsia="Arial" w:hAnsi="Arial"/>
                <w:sz w:val="11"/>
                <w:szCs w:val="11"/>
                <w:color w:val="auto"/>
              </w:rPr>
              <w:t>(17)</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15"/>
                <w:szCs w:val="15"/>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90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Adjusted earnings / (loss)</w:t>
            </w:r>
          </w:p>
        </w:tc>
        <w:tc>
          <w:tcPr>
            <w:tcW w:w="5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w:t>
            </w:r>
          </w:p>
        </w:tc>
        <w:tc>
          <w:tcPr>
            <w:tcW w:w="3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2,007</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1.61</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2,081</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1.78</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6,479</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5.12</w:t>
            </w: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6,819</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5.80</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46595"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2489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¹Interest rate hedging (gain) loss from PALNG Phase 1 Investment.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income tax effects of the special items are primarily calculated based on the statutory rate of the jurisdiction in which the discrete item resides.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40575" cy="1474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147447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ConocoPhillips</w:t>
      </w:r>
    </w:p>
    <w:p>
      <w:pPr>
        <w:spacing w:after="0" w:line="40" w:lineRule="exact"/>
        <w:rPr>
          <w:sz w:val="20"/>
          <w:szCs w:val="20"/>
          <w:color w:val="auto"/>
        </w:rPr>
      </w:pPr>
    </w:p>
    <w:p>
      <w:pPr>
        <w:ind w:left="40" w:right="1480"/>
        <w:spacing w:after="0" w:line="282" w:lineRule="auto"/>
        <w:rPr>
          <w:sz w:val="20"/>
          <w:szCs w:val="20"/>
          <w:color w:val="auto"/>
        </w:rPr>
      </w:pPr>
      <w:r>
        <w:rPr>
          <w:rFonts w:ascii="Arial" w:cs="Arial" w:eastAsia="Arial" w:hAnsi="Arial"/>
          <w:sz w:val="18"/>
          <w:szCs w:val="18"/>
          <w:b w:val="1"/>
          <w:bCs w:val="1"/>
          <w:color w:val="auto"/>
        </w:rPr>
        <w:t xml:space="preserve">Table 2: Reconciliation of net cash provided by operating activities to cash from operations </w:t>
      </w:r>
      <w:r>
        <w:rPr>
          <w:rFonts w:ascii="Arial" w:cs="Arial" w:eastAsia="Arial" w:hAnsi="Arial"/>
          <w:sz w:val="18"/>
          <w:szCs w:val="18"/>
          <w:color w:val="auto"/>
        </w:rPr>
        <w:t>$ millions, except as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3Q25</w:t>
            </w:r>
          </w:p>
        </w:tc>
        <w:tc>
          <w:tcPr>
            <w:tcW w:w="0" w:type="dxa"/>
            <w:vAlign w:val="bottom"/>
          </w:tcPr>
          <w:p>
            <w:pPr>
              <w:spacing w:after="0"/>
              <w:rPr>
                <w:sz w:val="1"/>
                <w:szCs w:val="1"/>
                <w:color w:val="auto"/>
              </w:rPr>
            </w:pPr>
          </w:p>
        </w:tc>
      </w:tr>
      <w:tr>
        <w:trPr>
          <w:trHeight w:val="240"/>
        </w:trPr>
        <w:tc>
          <w:tcPr>
            <w:tcW w:w="7480" w:type="dxa"/>
            <w:vAlign w:val="bottom"/>
            <w:vMerge w:val="continue"/>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5,878</w:t>
            </w:r>
          </w:p>
        </w:tc>
        <w:tc>
          <w:tcPr>
            <w:tcW w:w="0" w:type="dxa"/>
            <w:vAlign w:val="bottom"/>
          </w:tcPr>
          <w:p>
            <w:pPr>
              <w:spacing w:after="0"/>
              <w:rPr>
                <w:sz w:val="1"/>
                <w:szCs w:val="1"/>
                <w:color w:val="auto"/>
              </w:rPr>
            </w:pPr>
          </w:p>
        </w:tc>
      </w:tr>
      <w:tr>
        <w:trPr>
          <w:trHeight w:val="423"/>
        </w:trPr>
        <w:tc>
          <w:tcPr>
            <w:tcW w:w="74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operating working capital changes</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0"/>
        </w:trPr>
        <w:tc>
          <w:tcPr>
            <w:tcW w:w="7480" w:type="dxa"/>
            <w:vAlign w:val="bottom"/>
          </w:tcPr>
          <w:p>
            <w:pPr>
              <w:ind w:left="40"/>
              <w:spacing w:after="0"/>
              <w:rPr>
                <w:sz w:val="20"/>
                <w:szCs w:val="20"/>
                <w:color w:val="auto"/>
              </w:rPr>
            </w:pPr>
            <w:r>
              <w:rPr>
                <w:rFonts w:ascii="Arial" w:cs="Arial" w:eastAsia="Arial" w:hAnsi="Arial"/>
                <w:sz w:val="18"/>
                <w:szCs w:val="18"/>
                <w:b w:val="1"/>
                <w:bCs w:val="1"/>
                <w:color w:val="auto"/>
              </w:rPr>
              <w:t>Cash from operations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0575" cy="93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40575" cy="1663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663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YTD</w:t>
      </w:r>
    </w:p>
    <w:p>
      <w:pPr>
        <w:spacing w:after="0" w:line="40"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15,478</w:t>
      </w:r>
    </w:p>
    <w:p>
      <w:pPr>
        <w:spacing w:after="0" w:line="200" w:lineRule="exact"/>
        <w:rPr>
          <w:sz w:val="20"/>
          <w:szCs w:val="20"/>
          <w:color w:val="auto"/>
        </w:rPr>
      </w:pPr>
    </w:p>
    <w:p>
      <w:pPr>
        <w:spacing w:after="0" w:line="264"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(76)</w:t>
      </w:r>
    </w:p>
    <w:p>
      <w:pPr>
        <w:spacing w:after="0" w:line="36"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15,554</w:t>
      </w:r>
    </w:p>
    <w:p>
      <w:pPr>
        <w:spacing w:after="0" w:line="245" w:lineRule="exact"/>
        <w:rPr>
          <w:sz w:val="20"/>
          <w:szCs w:val="20"/>
          <w:color w:val="auto"/>
        </w:rPr>
      </w:pPr>
    </w:p>
    <w:p>
      <w:pPr>
        <w:sectPr>
          <w:pgSz w:w="11900" w:h="16838" w:orient="portrait"/>
          <w:cols w:equalWidth="0" w:num="2">
            <w:col w:w="9320" w:space="600"/>
            <w:col w:w="1340"/>
          </w:cols>
          <w:pgMar w:left="320" w:top="127" w:right="3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ConocoPhillips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3: Reconciliation of reported production to pro forma underlying production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MBOED, except as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9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3Q24</w:t>
            </w:r>
          </w:p>
        </w:tc>
        <w:tc>
          <w:tcPr>
            <w:tcW w:w="80" w:type="dxa"/>
            <w:vAlign w:val="bottom"/>
            <w:vMerge w:val="restart"/>
          </w:tcPr>
          <w:p>
            <w:pPr>
              <w:spacing w:after="0"/>
              <w:rPr>
                <w:sz w:val="17"/>
                <w:szCs w:val="17"/>
                <w:color w:val="auto"/>
              </w:rPr>
            </w:pPr>
          </w:p>
        </w:tc>
        <w:tc>
          <w:tcPr>
            <w:tcW w:w="9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3Q25</w:t>
            </w:r>
          </w:p>
        </w:tc>
        <w:tc>
          <w:tcPr>
            <w:tcW w:w="80" w:type="dxa"/>
            <w:vAlign w:val="bottom"/>
            <w:vMerge w:val="restart"/>
          </w:tcPr>
          <w:p>
            <w:pPr>
              <w:spacing w:after="0"/>
              <w:rPr>
                <w:sz w:val="17"/>
                <w:szCs w:val="1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2024 YTD</w:t>
            </w:r>
          </w:p>
        </w:tc>
        <w:tc>
          <w:tcPr>
            <w:tcW w:w="80" w:type="dxa"/>
            <w:vAlign w:val="bottom"/>
            <w:vMerge w:val="restart"/>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2025 YTD</w:t>
            </w:r>
          </w:p>
        </w:tc>
        <w:tc>
          <w:tcPr>
            <w:tcW w:w="80" w:type="dxa"/>
            <w:vAlign w:val="bottom"/>
          </w:tcPr>
          <w:p>
            <w:pPr>
              <w:spacing w:after="0"/>
              <w:rPr>
                <w:sz w:val="17"/>
                <w:szCs w:val="17"/>
                <w:color w:val="auto"/>
              </w:rPr>
            </w:pPr>
          </w:p>
        </w:tc>
        <w:tc>
          <w:tcPr>
            <w:tcW w:w="1580" w:type="dxa"/>
            <w:vAlign w:val="bottom"/>
          </w:tcPr>
          <w:p>
            <w:pPr>
              <w:ind w:left="440"/>
              <w:spacing w:after="0" w:line="197" w:lineRule="exact"/>
              <w:rPr>
                <w:sz w:val="20"/>
                <w:szCs w:val="20"/>
                <w:color w:val="auto"/>
              </w:rPr>
            </w:pPr>
            <w:r>
              <w:rPr>
                <w:rFonts w:ascii="Arial" w:cs="Arial" w:eastAsia="Arial" w:hAnsi="Arial"/>
                <w:sz w:val="18"/>
                <w:szCs w:val="18"/>
                <w:b w:val="1"/>
                <w:bCs w:val="1"/>
                <w:color w:val="auto"/>
              </w:rPr>
              <w:t>2026 FY</w:t>
            </w:r>
          </w:p>
        </w:tc>
        <w:tc>
          <w:tcPr>
            <w:tcW w:w="0" w:type="dxa"/>
            <w:vAlign w:val="bottom"/>
          </w:tcPr>
          <w:p>
            <w:pPr>
              <w:spacing w:after="0"/>
              <w:rPr>
                <w:sz w:val="1"/>
                <w:szCs w:val="1"/>
                <w:color w:val="auto"/>
              </w:rPr>
            </w:pPr>
          </w:p>
        </w:tc>
      </w:tr>
      <w:tr>
        <w:trPr>
          <w:trHeight w:val="235"/>
        </w:trPr>
        <w:tc>
          <w:tcPr>
            <w:tcW w:w="5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reported ConocoPhillips production</w:t>
            </w:r>
          </w:p>
        </w:tc>
        <w:tc>
          <w:tcPr>
            <w:tcW w:w="9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Guidance</w:t>
            </w:r>
          </w:p>
        </w:tc>
        <w:tc>
          <w:tcPr>
            <w:tcW w:w="0" w:type="dxa"/>
            <w:vAlign w:val="bottom"/>
          </w:tcPr>
          <w:p>
            <w:pPr>
              <w:spacing w:after="0"/>
              <w:rPr>
                <w:sz w:val="1"/>
                <w:szCs w:val="1"/>
                <w:color w:val="auto"/>
              </w:rPr>
            </w:pPr>
          </w:p>
        </w:tc>
      </w:tr>
      <w:tr>
        <w:trPr>
          <w:trHeight w:val="240"/>
        </w:trPr>
        <w:tc>
          <w:tcPr>
            <w:tcW w:w="564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1,917</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2,399</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1,921</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2,393</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5640" w:type="dxa"/>
            <w:vAlign w:val="bottom"/>
          </w:tcPr>
          <w:p>
            <w:pPr>
              <w:ind w:left="580"/>
              <w:spacing w:after="0"/>
              <w:rPr>
                <w:sz w:val="20"/>
                <w:szCs w:val="20"/>
                <w:color w:val="auto"/>
              </w:rPr>
            </w:pPr>
            <w:r>
              <w:rPr>
                <w:rFonts w:ascii="Arial" w:cs="Arial" w:eastAsia="Arial" w:hAnsi="Arial"/>
                <w:sz w:val="18"/>
                <w:szCs w:val="18"/>
                <w:color w:val="auto"/>
              </w:rPr>
              <w:t>Closed Dispositions</w:t>
            </w:r>
            <w:r>
              <w:rPr>
                <w:rFonts w:ascii="Arial" w:cs="Arial" w:eastAsia="Arial" w:hAnsi="Arial"/>
                <w:sz w:val="23"/>
                <w:szCs w:val="23"/>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640" w:type="dxa"/>
            <w:vAlign w:val="bottom"/>
          </w:tcPr>
          <w:p>
            <w:pPr>
              <w:ind w:left="580"/>
              <w:spacing w:after="0" w:line="235" w:lineRule="exact"/>
              <w:rPr>
                <w:sz w:val="20"/>
                <w:szCs w:val="20"/>
                <w:color w:val="auto"/>
              </w:rPr>
            </w:pPr>
            <w:r>
              <w:rPr>
                <w:rFonts w:ascii="Arial" w:cs="Arial" w:eastAsia="Arial" w:hAnsi="Arial"/>
                <w:sz w:val="18"/>
                <w:szCs w:val="18"/>
                <w:color w:val="auto"/>
              </w:rPr>
              <w:t>Closed Acquisitions</w:t>
            </w:r>
            <w:r>
              <w:rPr>
                <w:rFonts w:ascii="Arial" w:cs="Arial" w:eastAsia="Arial" w:hAnsi="Arial"/>
                <w:sz w:val="23"/>
                <w:szCs w:val="23"/>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Total pro forma underlying production</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2,316</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2,399</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2,292</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2,384</w:t>
            </w:r>
          </w:p>
        </w:tc>
        <w:tc>
          <w:tcPr>
            <w:tcW w:w="80" w:type="dxa"/>
            <w:vAlign w:val="bottom"/>
          </w:tcPr>
          <w:p>
            <w:pPr>
              <w:spacing w:after="0"/>
              <w:rPr>
                <w:sz w:val="17"/>
                <w:szCs w:val="17"/>
                <w:color w:val="auto"/>
              </w:rPr>
            </w:pPr>
          </w:p>
        </w:tc>
        <w:tc>
          <w:tcPr>
            <w:tcW w:w="1580" w:type="dxa"/>
            <w:vAlign w:val="bottom"/>
            <w:tcBorders>
              <w:top w:val="single" w:sz="8" w:color="auto"/>
            </w:tcBorders>
          </w:tcPr>
          <w:p>
            <w:pPr>
              <w:ind w:left="380"/>
              <w:spacing w:after="0" w:line="196" w:lineRule="exact"/>
              <w:rPr>
                <w:sz w:val="20"/>
                <w:szCs w:val="20"/>
                <w:color w:val="auto"/>
              </w:rPr>
            </w:pPr>
            <w:r>
              <w:rPr>
                <w:rFonts w:ascii="Arial" w:cs="Arial" w:eastAsia="Arial" w:hAnsi="Arial"/>
                <w:sz w:val="18"/>
                <w:szCs w:val="18"/>
                <w:b w:val="1"/>
                <w:bCs w:val="1"/>
                <w:color w:val="auto"/>
              </w:rPr>
              <w:t>2,330 - 2,370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4057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317500"/>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Includes production related to various Lower 48 noncore dispositions but excludes dispositions not yet closed as of 9/30/2025 (Anadarko Basin).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Includes production related to the acquisition of Marathon Oil and additional working interest in Alaska, both closed in 4Q24.</w:t>
      </w:r>
    </w:p>
    <w:p>
      <w:pPr>
        <w:sectPr>
          <w:pgSz w:w="11900" w:h="16838" w:orient="portrait"/>
          <w:cols w:equalWidth="0" w:num="1">
            <w:col w:w="11260"/>
          </w:cols>
          <w:pgMar w:left="320" w:top="127"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i w:val="1"/>
          <w:iCs w:val="1"/>
          <w:color w:val="auto"/>
        </w:rPr>
        <w:t>ConocoPhillips announces third-quarter 2025 results; increases quarterly ordinary dividend by 8% and announces preliminary 2026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40575" cy="2460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ConocoPhillips</w:t>
      </w:r>
    </w:p>
    <w:p>
      <w:pPr>
        <w:spacing w:after="0" w:line="40" w:lineRule="exact"/>
        <w:rPr>
          <w:sz w:val="20"/>
          <w:szCs w:val="20"/>
          <w:color w:val="auto"/>
        </w:rPr>
      </w:pPr>
    </w:p>
    <w:p>
      <w:pPr>
        <w:ind w:left="40" w:right="3560"/>
        <w:spacing w:after="0" w:line="282" w:lineRule="auto"/>
        <w:rPr>
          <w:sz w:val="20"/>
          <w:szCs w:val="20"/>
          <w:color w:val="auto"/>
        </w:rPr>
      </w:pPr>
      <w:r>
        <w:rPr>
          <w:rFonts w:ascii="Arial" w:cs="Arial" w:eastAsia="Arial" w:hAnsi="Arial"/>
          <w:sz w:val="18"/>
          <w:szCs w:val="18"/>
          <w:b w:val="1"/>
          <w:bCs w:val="1"/>
          <w:color w:val="auto"/>
        </w:rPr>
        <w:t xml:space="preserve">Table 4: Reconciliation of production and operating expenses to adjusted operating costs </w:t>
      </w:r>
      <w:r>
        <w:rPr>
          <w:rFonts w:ascii="Arial" w:cs="Arial" w:eastAsia="Arial" w:hAnsi="Arial"/>
          <w:sz w:val="18"/>
          <w:szCs w:val="18"/>
          <w:color w:val="auto"/>
        </w:rPr>
        <w:t>$ millions, except as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14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8"/>
                <w:szCs w:val="18"/>
                <w:b w:val="1"/>
                <w:bCs w:val="1"/>
                <w:color w:val="auto"/>
              </w:rPr>
              <w:t>2025 YTD</w:t>
            </w:r>
          </w:p>
        </w:tc>
        <w:tc>
          <w:tcPr>
            <w:tcW w:w="80" w:type="dxa"/>
            <w:vAlign w:val="bottom"/>
            <w:vMerge w:val="restart"/>
          </w:tcPr>
          <w:p>
            <w:pPr>
              <w:spacing w:after="0"/>
              <w:rPr>
                <w:sz w:val="16"/>
                <w:szCs w:val="16"/>
                <w:color w:val="auto"/>
              </w:rPr>
            </w:pPr>
          </w:p>
        </w:tc>
        <w:tc>
          <w:tcPr>
            <w:tcW w:w="1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2025 FY Guidance</w:t>
            </w:r>
          </w:p>
        </w:tc>
        <w:tc>
          <w:tcPr>
            <w:tcW w:w="80" w:type="dxa"/>
            <w:vAlign w:val="bottom"/>
          </w:tcPr>
          <w:p>
            <w:pPr>
              <w:spacing w:after="0"/>
              <w:rPr>
                <w:sz w:val="16"/>
                <w:szCs w:val="16"/>
                <w:color w:val="auto"/>
              </w:rPr>
            </w:pPr>
          </w:p>
        </w:tc>
        <w:tc>
          <w:tcPr>
            <w:tcW w:w="194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2026 FY Guidance</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rPr>
              <w:t>($B)</w:t>
            </w:r>
          </w:p>
        </w:tc>
        <w:tc>
          <w:tcPr>
            <w:tcW w:w="19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83"/>
        </w:trPr>
        <w:tc>
          <w:tcPr>
            <w:tcW w:w="51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140"/>
              <w:spacing w:after="0"/>
              <w:rPr>
                <w:sz w:val="20"/>
                <w:szCs w:val="20"/>
                <w:color w:val="auto"/>
              </w:rPr>
            </w:pPr>
            <w:r>
              <w:rPr>
                <w:rFonts w:ascii="Arial" w:cs="Arial" w:eastAsia="Arial" w:hAnsi="Arial"/>
                <w:sz w:val="18"/>
                <w:szCs w:val="18"/>
                <w:color w:val="auto"/>
              </w:rPr>
              <w:t>Production and operating expenses</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7,710</w:t>
            </w:r>
          </w:p>
        </w:tc>
        <w:tc>
          <w:tcPr>
            <w:tcW w:w="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5"/>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Selling, general and administrative (G&amp;A) expenses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Operating Costs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8,422</w:t>
            </w:r>
          </w:p>
        </w:tc>
        <w:tc>
          <w:tcPr>
            <w:tcW w:w="8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9"/>
                <w:szCs w:val="19"/>
                <w:color w:val="auto"/>
              </w:rPr>
            </w:pP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366"/>
        </w:trPr>
        <w:tc>
          <w:tcPr>
            <w:tcW w:w="5100" w:type="dxa"/>
            <w:vAlign w:val="bottom"/>
          </w:tcPr>
          <w:p>
            <w:pPr>
              <w:ind w:left="40"/>
              <w:spacing w:after="0"/>
              <w:rPr>
                <w:sz w:val="20"/>
                <w:szCs w:val="20"/>
                <w:color w:val="auto"/>
              </w:rPr>
            </w:pPr>
            <w:r>
              <w:rPr>
                <w:rFonts w:ascii="Arial" w:cs="Arial" w:eastAsia="Arial" w:hAnsi="Arial"/>
                <w:sz w:val="18"/>
                <w:szCs w:val="18"/>
                <w:color w:val="auto"/>
              </w:rPr>
              <w:t>Adjustments to exclude special items:</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Transaction, integration and restructuring expenses</w:t>
            </w:r>
          </w:p>
        </w:tc>
        <w:tc>
          <w:tcPr>
            <w:tcW w:w="214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Other corporate charges</w:t>
            </w:r>
          </w:p>
        </w:tc>
        <w:tc>
          <w:tcPr>
            <w:tcW w:w="21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Operating costs special items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(468)</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19"/>
                <w:szCs w:val="19"/>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5100" w:type="dxa"/>
            <w:vAlign w:val="bottom"/>
          </w:tcPr>
          <w:p>
            <w:pPr>
              <w:spacing w:after="0"/>
              <w:rPr>
                <w:sz w:val="20"/>
                <w:szCs w:val="20"/>
                <w:color w:val="auto"/>
              </w:rPr>
            </w:pP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operating costs</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8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80" w:type="dxa"/>
            <w:vAlign w:val="bottom"/>
          </w:tcPr>
          <w:p>
            <w:pPr>
              <w:spacing w:after="0"/>
              <w:rPr>
                <w:sz w:val="20"/>
                <w:szCs w:val="20"/>
                <w:color w:val="auto"/>
              </w:rPr>
            </w:pPr>
          </w:p>
        </w:tc>
        <w:tc>
          <w:tcPr>
            <w:tcW w:w="1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7" w:right="319" w:bottom="1440" w:gutter="0" w:footer="0" w:header="0"/>
        </w:sectPr>
      </w:pPr>
    </w:p>
    <w:bookmarkStart w:id="10" w:name="page11"/>
    <w:bookmarkEnd w:id="10"/>
    <w:p>
      <w:pPr>
        <w:ind w:left="10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06299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2025 Detailed Supplemental Information</w:t>
      </w:r>
    </w:p>
    <w:p>
      <w:pPr>
        <w:spacing w:after="0" w:line="302" w:lineRule="exact"/>
        <w:rPr>
          <w:sz w:val="20"/>
          <w:szCs w:val="20"/>
          <w:color w:val="auto"/>
        </w:rPr>
      </w:pPr>
    </w:p>
    <w:tbl>
      <w:tblPr>
        <w:tblLayout w:type="fixed"/>
        <w:tblInd w:w="3600" w:type="dxa"/>
        <w:tblCellMar>
          <w:top w:w="0" w:type="dxa"/>
          <w:left w:w="0" w:type="dxa"/>
          <w:bottom w:w="0" w:type="dxa"/>
          <w:right w:w="0" w:type="dxa"/>
        </w:tblCellMar>
      </w:tblPr>
      <w:tr>
        <w:trPr>
          <w:trHeight w:val="197"/>
        </w:trPr>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5"/>
        </w:trPr>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2nd Qtr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3rd Qtr</w:t>
            </w: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Qtr   Full Year</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2nd Qtr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3rd Qtr</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4th Qtr</w:t>
            </w: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-135255</wp:posOffset>
            </wp:positionV>
            <wp:extent cx="4852035" cy="745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52035" cy="745490"/>
                    </a:xfrm>
                    <a:prstGeom prst="rect">
                      <a:avLst/>
                    </a:prstGeom>
                    <a:noFill/>
                  </pic:spPr>
                </pic:pic>
              </a:graphicData>
            </a:graphic>
          </wp:anchor>
        </w:drawing>
      </w:r>
    </w:p>
    <w:p>
      <w:pPr>
        <w:ind w:left="140" w:hanging="114"/>
        <w:spacing w:after="0"/>
        <w:tabs>
          <w:tab w:leader="none" w:pos="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Millions, Except as Indicated</w:t>
      </w:r>
    </w:p>
    <w:p>
      <w:pPr>
        <w:spacing w:after="0" w:line="4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b w:val="1"/>
          <w:bCs w:val="1"/>
          <w:color w:val="0000FF"/>
        </w:rPr>
        <w:t>CONSOLIDATED INCOME STATEMENT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Revenues and other income</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400" w:type="dxa"/>
            <w:vAlign w:val="bottom"/>
          </w:tcPr>
          <w:p>
            <w:pPr>
              <w:ind w:left="100"/>
              <w:spacing w:after="0"/>
              <w:rPr>
                <w:sz w:val="20"/>
                <w:szCs w:val="20"/>
                <w:color w:val="auto"/>
              </w:rPr>
            </w:pPr>
            <w:r>
              <w:rPr>
                <w:rFonts w:ascii="Arial" w:cs="Arial" w:eastAsia="Arial" w:hAnsi="Arial"/>
                <w:sz w:val="14"/>
                <w:szCs w:val="14"/>
                <w:color w:val="auto"/>
              </w:rPr>
              <w:t>Sales and other operating revenues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13,848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13,620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13,041</w:t>
            </w:r>
          </w:p>
        </w:tc>
        <w:tc>
          <w:tcPr>
            <w:tcW w:w="640" w:type="dxa"/>
            <w:vAlign w:val="bottom"/>
          </w:tcPr>
          <w:p>
            <w:pPr>
              <w:jc w:val="right"/>
              <w:spacing w:after="0"/>
              <w:rPr>
                <w:sz w:val="20"/>
                <w:szCs w:val="20"/>
                <w:color w:val="auto"/>
              </w:rPr>
            </w:pPr>
            <w:r>
              <w:rPr>
                <w:rFonts w:ascii="Arial" w:cs="Arial" w:eastAsia="Arial" w:hAnsi="Arial"/>
                <w:sz w:val="14"/>
                <w:szCs w:val="14"/>
                <w:color w:val="auto"/>
              </w:rPr>
              <w:t>14,236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54,745</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16,517</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14,004</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15,031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45,552</w:t>
            </w:r>
          </w:p>
        </w:tc>
        <w:tc>
          <w:tcPr>
            <w:tcW w:w="20" w:type="dxa"/>
            <w:vAlign w:val="bottom"/>
          </w:tcPr>
          <w:p>
            <w:pPr>
              <w:spacing w:after="0"/>
              <w:rPr>
                <w:sz w:val="17"/>
                <w:szCs w:val="17"/>
                <w:color w:val="auto"/>
              </w:rPr>
            </w:pPr>
          </w:p>
        </w:tc>
      </w:tr>
      <w:tr>
        <w:trPr>
          <w:trHeight w:val="202"/>
        </w:trPr>
        <w:tc>
          <w:tcPr>
            <w:tcW w:w="3400" w:type="dxa"/>
            <w:vAlign w:val="bottom"/>
          </w:tcPr>
          <w:p>
            <w:pPr>
              <w:ind w:left="100"/>
              <w:spacing w:after="0"/>
              <w:rPr>
                <w:sz w:val="20"/>
                <w:szCs w:val="20"/>
                <w:color w:val="auto"/>
              </w:rPr>
            </w:pPr>
            <w:r>
              <w:rPr>
                <w:rFonts w:ascii="Arial" w:cs="Arial" w:eastAsia="Arial" w:hAnsi="Arial"/>
                <w:sz w:val="14"/>
                <w:szCs w:val="14"/>
                <w:color w:val="auto"/>
              </w:rPr>
              <w:t>Equity in earnings of affiliates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421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403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441</w:t>
            </w:r>
          </w:p>
        </w:tc>
        <w:tc>
          <w:tcPr>
            <w:tcW w:w="640" w:type="dxa"/>
            <w:vAlign w:val="bottom"/>
          </w:tcPr>
          <w:p>
            <w:pPr>
              <w:jc w:val="right"/>
              <w:spacing w:after="0"/>
              <w:rPr>
                <w:sz w:val="20"/>
                <w:szCs w:val="20"/>
                <w:color w:val="auto"/>
              </w:rPr>
            </w:pPr>
            <w:r>
              <w:rPr>
                <w:rFonts w:ascii="Arial" w:cs="Arial" w:eastAsia="Arial" w:hAnsi="Arial"/>
                <w:sz w:val="14"/>
                <w:szCs w:val="14"/>
                <w:color w:val="auto"/>
              </w:rPr>
              <w:t>440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392</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315</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345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Gain (loss) on dispositions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93</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79</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317</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20" w:type="dxa"/>
            <w:vAlign w:val="bottom"/>
            <w:shd w:val="clear" w:color="auto" w:fill="CCEEFF"/>
          </w:tcPr>
          <w:p>
            <w:pPr>
              <w:spacing w:after="0"/>
              <w:rPr>
                <w:sz w:val="17"/>
                <w:szCs w:val="17"/>
                <w:color w:val="auto"/>
              </w:rPr>
            </w:pPr>
          </w:p>
        </w:tc>
      </w:tr>
      <w:tr>
        <w:trPr>
          <w:trHeight w:val="207"/>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income</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118</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Borders>
              <w:left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w:t>
            </w:r>
          </w:p>
        </w:tc>
        <w:tc>
          <w:tcPr>
            <w:tcW w:w="14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143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9"/>
        </w:trPr>
        <w:tc>
          <w:tcPr>
            <w:tcW w:w="3400" w:type="dxa"/>
            <w:vAlign w:val="bottom"/>
          </w:tcPr>
          <w:p>
            <w:pPr>
              <w:ind w:left="180"/>
              <w:spacing w:after="0"/>
              <w:rPr>
                <w:sz w:val="20"/>
                <w:szCs w:val="20"/>
                <w:color w:val="auto"/>
              </w:rPr>
            </w:pPr>
            <w:r>
              <w:rPr>
                <w:rFonts w:ascii="Arial" w:cs="Arial" w:eastAsia="Arial" w:hAnsi="Arial"/>
                <w:sz w:val="14"/>
                <w:szCs w:val="14"/>
                <w:b w:val="1"/>
                <w:bCs w:val="1"/>
                <w:color w:val="auto"/>
              </w:rPr>
              <w:t>Total revenues and other income</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14,476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14,136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13,604</w:t>
            </w:r>
          </w:p>
        </w:tc>
        <w:tc>
          <w:tcPr>
            <w:tcW w:w="640" w:type="dxa"/>
            <w:vAlign w:val="bottom"/>
          </w:tcPr>
          <w:p>
            <w:pPr>
              <w:jc w:val="right"/>
              <w:spacing w:after="0"/>
              <w:rPr>
                <w:sz w:val="20"/>
                <w:szCs w:val="20"/>
                <w:color w:val="auto"/>
              </w:rPr>
            </w:pPr>
            <w:r>
              <w:rPr>
                <w:rFonts w:ascii="Arial" w:cs="Arial" w:eastAsia="Arial" w:hAnsi="Arial"/>
                <w:sz w:val="14"/>
                <w:szCs w:val="14"/>
                <w:color w:val="auto"/>
              </w:rPr>
              <w:t>14,737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56,953</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17,101</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14,740</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15,522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47,363</w:t>
            </w:r>
          </w:p>
        </w:tc>
        <w:tc>
          <w:tcPr>
            <w:tcW w:w="20" w:type="dxa"/>
            <w:vAlign w:val="bottom"/>
            <w:shd w:val="clear" w:color="auto" w:fill="CCEEFF"/>
          </w:tcPr>
          <w:p>
            <w:pPr>
              <w:spacing w:after="0"/>
              <w:rPr>
                <w:sz w:val="17"/>
                <w:szCs w:val="17"/>
                <w:color w:val="auto"/>
              </w:rPr>
            </w:pPr>
          </w:p>
        </w:tc>
      </w:tr>
      <w:tr>
        <w:trPr>
          <w:trHeight w:val="330"/>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00" w:type="dxa"/>
            <w:vAlign w:val="bottom"/>
            <w:tcBorders>
              <w:left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r>
      <w:tr>
        <w:trPr>
          <w:trHeight w:val="197"/>
        </w:trPr>
        <w:tc>
          <w:tcPr>
            <w:tcW w:w="3400" w:type="dxa"/>
            <w:vAlign w:val="bottom"/>
          </w:tcPr>
          <w:p>
            <w:pPr>
              <w:ind w:left="100"/>
              <w:spacing w:after="0"/>
              <w:rPr>
                <w:sz w:val="20"/>
                <w:szCs w:val="20"/>
                <w:color w:val="auto"/>
              </w:rPr>
            </w:pPr>
            <w:r>
              <w:rPr>
                <w:rFonts w:ascii="Arial" w:cs="Arial" w:eastAsia="Arial" w:hAnsi="Arial"/>
                <w:sz w:val="14"/>
                <w:szCs w:val="14"/>
                <w:color w:val="auto"/>
              </w:rPr>
              <w:t>Purchased commodities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5,334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4,858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4,747</w:t>
            </w:r>
          </w:p>
        </w:tc>
        <w:tc>
          <w:tcPr>
            <w:tcW w:w="640" w:type="dxa"/>
            <w:vAlign w:val="bottom"/>
          </w:tcPr>
          <w:p>
            <w:pPr>
              <w:jc w:val="right"/>
              <w:spacing w:after="0"/>
              <w:rPr>
                <w:sz w:val="20"/>
                <w:szCs w:val="20"/>
                <w:color w:val="auto"/>
              </w:rPr>
            </w:pPr>
            <w:r>
              <w:rPr>
                <w:rFonts w:ascii="Arial" w:cs="Arial" w:eastAsia="Arial" w:hAnsi="Arial"/>
                <w:sz w:val="14"/>
                <w:szCs w:val="14"/>
                <w:color w:val="auto"/>
              </w:rPr>
              <w:t>5,073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20,012</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6,188</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5,085</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5,857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17,130</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Production and operating expenses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2,164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2,261</w:t>
            </w:r>
          </w:p>
        </w:tc>
        <w:tc>
          <w:tcPr>
            <w:tcW w:w="640" w:type="dxa"/>
            <w:vAlign w:val="bottom"/>
          </w:tcPr>
          <w:p>
            <w:pPr>
              <w:jc w:val="right"/>
              <w:spacing w:after="0"/>
              <w:rPr>
                <w:sz w:val="20"/>
                <w:szCs w:val="20"/>
                <w:color w:val="auto"/>
              </w:rPr>
            </w:pPr>
            <w:r>
              <w:rPr>
                <w:rFonts w:ascii="Arial" w:cs="Arial" w:eastAsia="Arial" w:hAnsi="Arial"/>
                <w:sz w:val="14"/>
                <w:szCs w:val="14"/>
                <w:color w:val="auto"/>
              </w:rPr>
              <w:t>2,311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8,751</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2,506</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2,572</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2,632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7,710</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186</w:t>
            </w:r>
          </w:p>
        </w:tc>
        <w:tc>
          <w:tcPr>
            <w:tcW w:w="640" w:type="dxa"/>
            <w:vAlign w:val="bottom"/>
          </w:tcPr>
          <w:p>
            <w:pPr>
              <w:jc w:val="right"/>
              <w:spacing w:after="0"/>
              <w:rPr>
                <w:sz w:val="20"/>
                <w:szCs w:val="20"/>
                <w:color w:val="auto"/>
              </w:rPr>
            </w:pPr>
            <w:r>
              <w:rPr>
                <w:rFonts w:ascii="Arial" w:cs="Arial" w:eastAsia="Arial" w:hAnsi="Arial"/>
                <w:sz w:val="14"/>
                <w:szCs w:val="14"/>
                <w:color w:val="auto"/>
              </w:rPr>
              <w:t>630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191</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271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Exploration expenses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112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70</w:t>
            </w:r>
          </w:p>
        </w:tc>
        <w:tc>
          <w:tcPr>
            <w:tcW w:w="640" w:type="dxa"/>
            <w:vAlign w:val="bottom"/>
          </w:tcPr>
          <w:p>
            <w:pPr>
              <w:jc w:val="right"/>
              <w:spacing w:after="0"/>
              <w:rPr>
                <w:sz w:val="20"/>
                <w:szCs w:val="20"/>
                <w:color w:val="auto"/>
              </w:rPr>
            </w:pPr>
            <w:r>
              <w:rPr>
                <w:rFonts w:ascii="Arial" w:cs="Arial" w:eastAsia="Arial" w:hAnsi="Arial"/>
                <w:sz w:val="14"/>
                <w:szCs w:val="14"/>
                <w:color w:val="auto"/>
              </w:rPr>
              <w:t>71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117</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71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Depreciation, depletion and amortization</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2,211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2,334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2,390</w:t>
            </w:r>
          </w:p>
        </w:tc>
        <w:tc>
          <w:tcPr>
            <w:tcW w:w="640" w:type="dxa"/>
            <w:vAlign w:val="bottom"/>
          </w:tcPr>
          <w:p>
            <w:pPr>
              <w:jc w:val="right"/>
              <w:spacing w:after="0"/>
              <w:rPr>
                <w:sz w:val="20"/>
                <w:szCs w:val="20"/>
                <w:color w:val="auto"/>
              </w:rPr>
            </w:pPr>
            <w:r>
              <w:rPr>
                <w:rFonts w:ascii="Arial" w:cs="Arial" w:eastAsia="Arial" w:hAnsi="Arial"/>
                <w:sz w:val="14"/>
                <w:szCs w:val="14"/>
                <w:color w:val="auto"/>
              </w:rPr>
              <w:t>2,664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9,599</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2,746</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2,838</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2,917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8,501</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Impairments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Taxes other than income taxes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555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536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476</w:t>
            </w:r>
          </w:p>
        </w:tc>
        <w:tc>
          <w:tcPr>
            <w:tcW w:w="640" w:type="dxa"/>
            <w:vAlign w:val="bottom"/>
          </w:tcPr>
          <w:p>
            <w:pPr>
              <w:jc w:val="right"/>
              <w:spacing w:after="0"/>
              <w:rPr>
                <w:sz w:val="20"/>
                <w:szCs w:val="20"/>
                <w:color w:val="auto"/>
              </w:rPr>
            </w:pPr>
            <w:r>
              <w:rPr>
                <w:rFonts w:ascii="Arial" w:cs="Arial" w:eastAsia="Arial" w:hAnsi="Arial"/>
                <w:sz w:val="14"/>
                <w:szCs w:val="14"/>
                <w:color w:val="auto"/>
              </w:rPr>
              <w:t>520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551</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525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Accretion on discounted liabilities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80</w:t>
            </w:r>
          </w:p>
        </w:tc>
        <w:tc>
          <w:tcPr>
            <w:tcW w:w="640" w:type="dxa"/>
            <w:vAlign w:val="bottom"/>
          </w:tcPr>
          <w:p>
            <w:pPr>
              <w:jc w:val="right"/>
              <w:spacing w:after="0"/>
              <w:rPr>
                <w:sz w:val="20"/>
                <w:szCs w:val="20"/>
                <w:color w:val="auto"/>
              </w:rPr>
            </w:pPr>
            <w:r>
              <w:rPr>
                <w:rFonts w:ascii="Arial" w:cs="Arial" w:eastAsia="Arial" w:hAnsi="Arial"/>
                <w:sz w:val="14"/>
                <w:szCs w:val="14"/>
                <w:color w:val="auto"/>
              </w:rPr>
              <w:t>85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94</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94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Interest and debt expense</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198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189</w:t>
            </w:r>
          </w:p>
        </w:tc>
        <w:tc>
          <w:tcPr>
            <w:tcW w:w="640" w:type="dxa"/>
            <w:vAlign w:val="bottom"/>
          </w:tcPr>
          <w:p>
            <w:pPr>
              <w:jc w:val="right"/>
              <w:spacing w:after="0"/>
              <w:rPr>
                <w:sz w:val="20"/>
                <w:szCs w:val="20"/>
                <w:color w:val="auto"/>
              </w:rPr>
            </w:pPr>
            <w:r>
              <w:rPr>
                <w:rFonts w:ascii="Arial" w:cs="Arial" w:eastAsia="Arial" w:hAnsi="Arial"/>
                <w:sz w:val="14"/>
                <w:szCs w:val="14"/>
                <w:color w:val="auto"/>
              </w:rPr>
              <w:t>191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205</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232</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223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20" w:type="dxa"/>
            <w:vAlign w:val="bottom"/>
            <w:shd w:val="clear" w:color="auto" w:fill="CCEEFF"/>
          </w:tcPr>
          <w:p>
            <w:pPr>
              <w:spacing w:after="0"/>
              <w:rPr>
                <w:sz w:val="17"/>
                <w:szCs w:val="17"/>
                <w:color w:val="auto"/>
              </w:rPr>
            </w:pPr>
          </w:p>
        </w:tc>
      </w:tr>
      <w:tr>
        <w:trPr>
          <w:trHeight w:val="203"/>
        </w:trPr>
        <w:tc>
          <w:tcPr>
            <w:tcW w:w="3400" w:type="dxa"/>
            <w:vAlign w:val="bottom"/>
          </w:tcPr>
          <w:p>
            <w:pPr>
              <w:ind w:left="100"/>
              <w:spacing w:after="0"/>
              <w:rPr>
                <w:sz w:val="20"/>
                <w:szCs w:val="20"/>
                <w:color w:val="auto"/>
              </w:rPr>
            </w:pPr>
            <w:r>
              <w:rPr>
                <w:rFonts w:ascii="Arial" w:cs="Arial" w:eastAsia="Arial" w:hAnsi="Arial"/>
                <w:sz w:val="14"/>
                <w:szCs w:val="14"/>
                <w:color w:val="auto"/>
              </w:rPr>
              <w:t>Foreign currency transactions (gain) loss</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30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400" w:type="dxa"/>
            <w:vAlign w:val="bottom"/>
          </w:tcPr>
          <w:p>
            <w:pPr>
              <w:jc w:val="right"/>
              <w:ind w:right="708"/>
              <w:spacing w:after="0"/>
              <w:rPr>
                <w:sz w:val="20"/>
                <w:szCs w:val="20"/>
                <w:color w:val="auto"/>
              </w:rPr>
            </w:pPr>
            <w:r>
              <w:rPr>
                <w:rFonts w:ascii="Arial" w:cs="Arial" w:eastAsia="Arial" w:hAnsi="Arial"/>
                <w:sz w:val="14"/>
                <w:szCs w:val="14"/>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7"/>
                <w:szCs w:val="17"/>
                <w:color w:val="auto"/>
              </w:rPr>
            </w:pPr>
          </w:p>
        </w:tc>
      </w:tr>
      <w:tr>
        <w:trPr>
          <w:trHeight w:val="206"/>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expenses</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left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9"/>
        </w:trPr>
        <w:tc>
          <w:tcPr>
            <w:tcW w:w="3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 costs and expenses</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10,668</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10,477</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10,369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43,281</w:t>
            </w:r>
          </w:p>
        </w:tc>
        <w:tc>
          <w:tcPr>
            <w:tcW w:w="100" w:type="dxa"/>
            <w:vAlign w:val="bottom"/>
            <w:tcBorders>
              <w:left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12,635</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11,723</w:t>
            </w:r>
          </w:p>
        </w:tc>
        <w:tc>
          <w:tcPr>
            <w:tcW w:w="14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12,594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36,952</w:t>
            </w:r>
          </w:p>
        </w:tc>
        <w:tc>
          <w:tcPr>
            <w:tcW w:w="20" w:type="dxa"/>
            <w:vAlign w:val="bottom"/>
            <w:tcBorders>
              <w:bottom w:val="single" w:sz="8" w:color="auto"/>
            </w:tcBorders>
            <w:shd w:val="clear" w:color="auto" w:fill="CCEEFF"/>
          </w:tcPr>
          <w:p>
            <w:pPr>
              <w:spacing w:after="0"/>
              <w:rPr>
                <w:sz w:val="17"/>
                <w:szCs w:val="17"/>
                <w:color w:val="auto"/>
              </w:rPr>
            </w:pPr>
          </w:p>
        </w:tc>
      </w:tr>
      <w:tr>
        <w:trPr>
          <w:trHeight w:val="195"/>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3,808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3,659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3,235</w:t>
            </w:r>
          </w:p>
        </w:tc>
        <w:tc>
          <w:tcPr>
            <w:tcW w:w="640" w:type="dxa"/>
            <w:vAlign w:val="bottom"/>
          </w:tcPr>
          <w:p>
            <w:pPr>
              <w:jc w:val="right"/>
              <w:spacing w:after="0"/>
              <w:rPr>
                <w:sz w:val="20"/>
                <w:szCs w:val="20"/>
                <w:color w:val="auto"/>
              </w:rPr>
            </w:pPr>
            <w:r>
              <w:rPr>
                <w:rFonts w:ascii="Arial" w:cs="Arial" w:eastAsia="Arial" w:hAnsi="Arial"/>
                <w:sz w:val="14"/>
                <w:szCs w:val="14"/>
                <w:color w:val="auto"/>
              </w:rPr>
              <w:t>2,970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13,672</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4,466</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3,017</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2,928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10,411</w:t>
            </w:r>
          </w:p>
        </w:tc>
        <w:tc>
          <w:tcPr>
            <w:tcW w:w="20" w:type="dxa"/>
            <w:vAlign w:val="bottom"/>
            <w:shd w:val="clear" w:color="auto" w:fill="CCEEFF"/>
          </w:tcPr>
          <w:p>
            <w:pPr>
              <w:spacing w:after="0"/>
              <w:rPr>
                <w:sz w:val="16"/>
                <w:szCs w:val="16"/>
                <w:color w:val="auto"/>
              </w:rPr>
            </w:pPr>
          </w:p>
        </w:tc>
      </w:tr>
      <w:tr>
        <w:trPr>
          <w:trHeight w:val="200"/>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Income tax provision (benefit)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1,257</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1,330</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100" w:type="dxa"/>
            <w:vAlign w:val="bottom"/>
            <w:tcBorders>
              <w:left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1,617</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1,046</w:t>
            </w:r>
          </w:p>
        </w:tc>
        <w:tc>
          <w:tcPr>
            <w:tcW w:w="14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1,202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w:t>
            </w:r>
          </w:p>
        </w:tc>
        <w:tc>
          <w:tcPr>
            <w:tcW w:w="20" w:type="dxa"/>
            <w:vAlign w:val="bottom"/>
            <w:tcBorders>
              <w:bottom w:val="single" w:sz="8" w:color="auto"/>
            </w:tcBorders>
            <w:shd w:val="clear" w:color="auto" w:fill="CCEEFF"/>
          </w:tcPr>
          <w:p>
            <w:pPr>
              <w:spacing w:after="0"/>
              <w:rPr>
                <w:sz w:val="17"/>
                <w:szCs w:val="17"/>
                <w:color w:val="auto"/>
              </w:rPr>
            </w:pPr>
          </w:p>
        </w:tc>
      </w:tr>
      <w:tr>
        <w:trPr>
          <w:trHeight w:val="219"/>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2,551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2,329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2,059</w:t>
            </w:r>
          </w:p>
        </w:tc>
        <w:tc>
          <w:tcPr>
            <w:tcW w:w="640" w:type="dxa"/>
            <w:vAlign w:val="bottom"/>
          </w:tcPr>
          <w:p>
            <w:pPr>
              <w:jc w:val="right"/>
              <w:spacing w:after="0"/>
              <w:rPr>
                <w:sz w:val="20"/>
                <w:szCs w:val="20"/>
                <w:color w:val="auto"/>
              </w:rPr>
            </w:pPr>
            <w:r>
              <w:rPr>
                <w:rFonts w:ascii="Arial" w:cs="Arial" w:eastAsia="Arial" w:hAnsi="Arial"/>
                <w:sz w:val="14"/>
                <w:szCs w:val="14"/>
                <w:color w:val="auto"/>
              </w:rPr>
              <w:t>2,306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9,245</w:t>
            </w:r>
          </w:p>
        </w:tc>
        <w:tc>
          <w:tcPr>
            <w:tcW w:w="940" w:type="dxa"/>
            <w:vAlign w:val="bottom"/>
            <w:tcBorders>
              <w:left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2,849</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1,971</w:t>
            </w:r>
          </w:p>
        </w:tc>
        <w:tc>
          <w:tcPr>
            <w:tcW w:w="1400" w:type="dxa"/>
            <w:vAlign w:val="bottom"/>
          </w:tcPr>
          <w:p>
            <w:pPr>
              <w:jc w:val="right"/>
              <w:ind w:right="748"/>
              <w:spacing w:after="0"/>
              <w:rPr>
                <w:sz w:val="20"/>
                <w:szCs w:val="20"/>
                <w:color w:val="auto"/>
              </w:rPr>
            </w:pPr>
            <w:r>
              <w:rPr>
                <w:rFonts w:ascii="Arial" w:cs="Arial" w:eastAsia="Arial" w:hAnsi="Arial"/>
                <w:sz w:val="14"/>
                <w:szCs w:val="14"/>
                <w:color w:val="auto"/>
              </w:rPr>
              <w:t>1,726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20" w:type="dxa"/>
            <w:vAlign w:val="bottom"/>
            <w:shd w:val="clear" w:color="auto" w:fill="CCEEFF"/>
          </w:tcPr>
          <w:p>
            <w:pPr>
              <w:spacing w:after="0"/>
              <w:rPr>
                <w:sz w:val="19"/>
                <w:szCs w:val="19"/>
                <w:color w:val="auto"/>
              </w:rPr>
            </w:pPr>
          </w:p>
        </w:tc>
      </w:tr>
      <w:tr>
        <w:trPr>
          <w:trHeight w:val="20"/>
        </w:trPr>
        <w:tc>
          <w:tcPr>
            <w:tcW w:w="3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060" cy="3511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-16510</wp:posOffset>
            </wp:positionV>
            <wp:extent cx="48006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060" cy="3511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(loss) per share of common stock (dollars)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ind w:left="100"/>
              <w:spacing w:after="0"/>
              <w:rPr>
                <w:sz w:val="20"/>
                <w:szCs w:val="20"/>
                <w:color w:val="auto"/>
              </w:rPr>
            </w:pPr>
            <w:r>
              <w:rPr>
                <w:rFonts w:ascii="Arial" w:cs="Arial" w:eastAsia="Arial" w:hAnsi="Arial"/>
                <w:sz w:val="14"/>
                <w:szCs w:val="14"/>
                <w:color w:val="auto"/>
              </w:rPr>
              <w:t>Basic</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1.77</w:t>
            </w:r>
          </w:p>
        </w:tc>
        <w:tc>
          <w:tcPr>
            <w:tcW w:w="740" w:type="dxa"/>
            <w:vAlign w:val="bottom"/>
          </w:tcPr>
          <w:p>
            <w:pPr>
              <w:jc w:val="right"/>
              <w:spacing w:after="0"/>
              <w:rPr>
                <w:sz w:val="20"/>
                <w:szCs w:val="20"/>
                <w:color w:val="auto"/>
              </w:rPr>
            </w:pPr>
            <w:r>
              <w:rPr>
                <w:rFonts w:ascii="Arial" w:cs="Arial" w:eastAsia="Arial" w:hAnsi="Arial"/>
                <w:sz w:val="14"/>
                <w:szCs w:val="14"/>
                <w:color w:val="auto"/>
              </w:rPr>
              <w:t>1.90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2.23</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1.38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 w:type="dxa"/>
            <w:vAlign w:val="bottom"/>
          </w:tcPr>
          <w:p>
            <w:pPr>
              <w:spacing w:after="0"/>
              <w:rPr>
                <w:sz w:val="16"/>
                <w:szCs w:val="16"/>
                <w:color w:val="auto"/>
              </w:rPr>
            </w:pPr>
          </w:p>
        </w:tc>
      </w:tr>
      <w:tr>
        <w:trPr>
          <w:trHeight w:val="198"/>
        </w:trPr>
        <w:tc>
          <w:tcPr>
            <w:tcW w:w="3280" w:type="dxa"/>
            <w:vAlign w:val="bottom"/>
          </w:tcPr>
          <w:p>
            <w:pPr>
              <w:ind w:left="100"/>
              <w:spacing w:after="0"/>
              <w:rPr>
                <w:sz w:val="20"/>
                <w:szCs w:val="20"/>
                <w:color w:val="auto"/>
              </w:rPr>
            </w:pPr>
            <w:r>
              <w:rPr>
                <w:rFonts w:ascii="Arial" w:cs="Arial" w:eastAsia="Arial" w:hAnsi="Arial"/>
                <w:sz w:val="14"/>
                <w:szCs w:val="14"/>
                <w:color w:val="auto"/>
              </w:rPr>
              <w:t>Diluted</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740" w:type="dxa"/>
            <w:vAlign w:val="bottom"/>
          </w:tcPr>
          <w:p>
            <w:pPr>
              <w:jc w:val="right"/>
              <w:spacing w:after="0"/>
              <w:rPr>
                <w:sz w:val="20"/>
                <w:szCs w:val="20"/>
                <w:color w:val="auto"/>
              </w:rPr>
            </w:pPr>
            <w:r>
              <w:rPr>
                <w:rFonts w:ascii="Arial" w:cs="Arial" w:eastAsia="Arial" w:hAnsi="Arial"/>
                <w:sz w:val="14"/>
                <w:szCs w:val="14"/>
                <w:color w:val="auto"/>
              </w:rPr>
              <w:t>1.90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2.23</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1.38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 w:type="dxa"/>
            <w:vAlign w:val="bottom"/>
            <w:shd w:val="clear" w:color="auto" w:fill="CCEEFF"/>
          </w:tcPr>
          <w:p>
            <w:pPr>
              <w:spacing w:after="0"/>
              <w:rPr>
                <w:sz w:val="17"/>
                <w:szCs w:val="17"/>
                <w:color w:val="auto"/>
              </w:rPr>
            </w:pPr>
          </w:p>
        </w:tc>
      </w:tr>
      <w:tr>
        <w:trPr>
          <w:trHeight w:val="333"/>
        </w:trPr>
        <w:tc>
          <w:tcPr>
            <w:tcW w:w="4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Weighted-average common shares outstanding (in thousands)*</w:t>
            </w:r>
          </w:p>
        </w:tc>
        <w:tc>
          <w:tcPr>
            <w:tcW w:w="7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00" w:type="dxa"/>
            <w:vAlign w:val="bottom"/>
            <w:tcBorders>
              <w:left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r>
      <w:tr>
        <w:trPr>
          <w:trHeight w:val="196"/>
        </w:trPr>
        <w:tc>
          <w:tcPr>
            <w:tcW w:w="3280" w:type="dxa"/>
            <w:vAlign w:val="bottom"/>
          </w:tcPr>
          <w:p>
            <w:pPr>
              <w:ind w:left="100"/>
              <w:spacing w:after="0"/>
              <w:rPr>
                <w:sz w:val="20"/>
                <w:szCs w:val="20"/>
                <w:color w:val="auto"/>
              </w:rPr>
            </w:pPr>
            <w:r>
              <w:rPr>
                <w:rFonts w:ascii="Arial" w:cs="Arial" w:eastAsia="Arial" w:hAnsi="Arial"/>
                <w:sz w:val="14"/>
                <w:szCs w:val="14"/>
                <w:color w:val="auto"/>
              </w:rPr>
              <w:t>Basic</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1,177,921</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1,168,198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1,161,318</w:t>
            </w:r>
          </w:p>
        </w:tc>
        <w:tc>
          <w:tcPr>
            <w:tcW w:w="740" w:type="dxa"/>
            <w:vAlign w:val="bottom"/>
          </w:tcPr>
          <w:p>
            <w:pPr>
              <w:jc w:val="right"/>
              <w:spacing w:after="0"/>
              <w:rPr>
                <w:sz w:val="20"/>
                <w:szCs w:val="20"/>
                <w:color w:val="auto"/>
              </w:rPr>
            </w:pPr>
            <w:r>
              <w:rPr>
                <w:rFonts w:ascii="Arial" w:cs="Arial" w:eastAsia="Arial" w:hAnsi="Arial"/>
                <w:sz w:val="14"/>
                <w:szCs w:val="14"/>
                <w:color w:val="auto"/>
              </w:rPr>
              <w:t>1,207,421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1,178,920</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1,273,350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1,257,512</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1,245,253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1,258,602</w:t>
            </w:r>
          </w:p>
        </w:tc>
        <w:tc>
          <w:tcPr>
            <w:tcW w:w="20" w:type="dxa"/>
            <w:vAlign w:val="bottom"/>
            <w:shd w:val="clear" w:color="auto" w:fill="CCEEFF"/>
          </w:tcPr>
          <w:p>
            <w:pPr>
              <w:spacing w:after="0"/>
              <w:rPr>
                <w:sz w:val="17"/>
                <w:szCs w:val="17"/>
                <w:color w:val="auto"/>
              </w:rPr>
            </w:pPr>
          </w:p>
        </w:tc>
      </w:tr>
      <w:tr>
        <w:trPr>
          <w:trHeight w:val="207"/>
        </w:trPr>
        <w:tc>
          <w:tcPr>
            <w:tcW w:w="3280" w:type="dxa"/>
            <w:vAlign w:val="bottom"/>
          </w:tcPr>
          <w:p>
            <w:pPr>
              <w:ind w:left="100"/>
              <w:spacing w:after="0"/>
              <w:rPr>
                <w:sz w:val="20"/>
                <w:szCs w:val="20"/>
                <w:color w:val="auto"/>
              </w:rPr>
            </w:pPr>
            <w:r>
              <w:rPr>
                <w:rFonts w:ascii="Arial" w:cs="Arial" w:eastAsia="Arial" w:hAnsi="Arial"/>
                <w:sz w:val="14"/>
                <w:szCs w:val="14"/>
                <w:color w:val="auto"/>
              </w:rPr>
              <w:t>Diluted</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1,180,320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1,170,299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1,163,227</w:t>
            </w:r>
          </w:p>
        </w:tc>
        <w:tc>
          <w:tcPr>
            <w:tcW w:w="740" w:type="dxa"/>
            <w:vAlign w:val="bottom"/>
          </w:tcPr>
          <w:p>
            <w:pPr>
              <w:jc w:val="right"/>
              <w:spacing w:after="0"/>
              <w:rPr>
                <w:sz w:val="20"/>
                <w:szCs w:val="20"/>
                <w:color w:val="auto"/>
              </w:rPr>
            </w:pPr>
            <w:r>
              <w:rPr>
                <w:rFonts w:ascii="Arial" w:cs="Arial" w:eastAsia="Arial" w:hAnsi="Arial"/>
                <w:sz w:val="14"/>
                <w:szCs w:val="14"/>
                <w:color w:val="auto"/>
              </w:rPr>
              <w:t>1,209,163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1,180,871</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1,274,879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1,258,998</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1,246,854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1,260,059</w:t>
            </w:r>
          </w:p>
        </w:tc>
        <w:tc>
          <w:tcPr>
            <w:tcW w:w="20" w:type="dxa"/>
            <w:vAlign w:val="bottom"/>
            <w:shd w:val="clear" w:color="auto" w:fill="CCEEFF"/>
          </w:tcPr>
          <w:p>
            <w:pPr>
              <w:spacing w:after="0"/>
              <w:rPr>
                <w:sz w:val="17"/>
                <w:szCs w:val="17"/>
                <w:color w:val="auto"/>
              </w:rPr>
            </w:pPr>
          </w:p>
        </w:tc>
      </w:tr>
      <w:tr>
        <w:trPr>
          <w:trHeight w:val="152"/>
        </w:trPr>
        <w:tc>
          <w:tcPr>
            <w:tcW w:w="6620" w:type="dxa"/>
            <w:vAlign w:val="bottom"/>
            <w:tcBorders>
              <w:top w:val="single" w:sz="8" w:color="auto"/>
            </w:tcBorders>
            <w:gridSpan w:val="5"/>
          </w:tcPr>
          <w:p>
            <w:pPr>
              <w:ind w:left="20"/>
              <w:spacing w:after="0" w:line="152" w:lineRule="exact"/>
              <w:rPr>
                <w:sz w:val="20"/>
                <w:szCs w:val="20"/>
                <w:color w:val="auto"/>
              </w:rPr>
            </w:pPr>
            <w:r>
              <w:rPr>
                <w:rFonts w:ascii="Arial" w:cs="Arial" w:eastAsia="Arial" w:hAnsi="Arial"/>
                <w:sz w:val="14"/>
                <w:szCs w:val="14"/>
                <w:i w:val="1"/>
                <w:iCs w:val="1"/>
                <w:color w:val="auto"/>
              </w:rPr>
              <w:t>*Ending common shares outstanding is 1,235,718 as of September 30, 2025, compared with 1,248,942</w:t>
            </w: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r>
      <w:tr>
        <w:trPr>
          <w:trHeight w:val="188"/>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as of June 30, 2025.</w:t>
            </w: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411"/>
        </w:trPr>
        <w:tc>
          <w:tcPr>
            <w:tcW w:w="3280" w:type="dxa"/>
            <w:vAlign w:val="bottom"/>
          </w:tcPr>
          <w:p>
            <w:pPr>
              <w:ind w:left="20"/>
              <w:spacing w:after="0"/>
              <w:rPr>
                <w:sz w:val="20"/>
                <w:szCs w:val="20"/>
                <w:color w:val="auto"/>
              </w:rPr>
            </w:pPr>
            <w:r>
              <w:rPr>
                <w:rFonts w:ascii="Arial" w:cs="Arial" w:eastAsia="Arial" w:hAnsi="Arial"/>
                <w:sz w:val="14"/>
                <w:szCs w:val="14"/>
                <w:b w:val="1"/>
                <w:bCs w:val="1"/>
                <w:color w:val="0000FF"/>
              </w:rPr>
              <w:t>INCOME (LOSS) BEFORE INCOME TAXES</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tcBorders>
              <w:left w:val="single" w:sz="8" w:color="CCEE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345"/>
        </w:trPr>
        <w:tc>
          <w:tcPr>
            <w:tcW w:w="3280" w:type="dxa"/>
            <w:vAlign w:val="bottom"/>
          </w:tcPr>
          <w:p>
            <w:pPr>
              <w:ind w:left="20"/>
              <w:spacing w:after="0"/>
              <w:rPr>
                <w:sz w:val="20"/>
                <w:szCs w:val="20"/>
                <w:color w:val="auto"/>
              </w:rPr>
            </w:pPr>
            <w:r>
              <w:rPr>
                <w:rFonts w:ascii="Arial" w:cs="Arial" w:eastAsia="Arial" w:hAnsi="Arial"/>
                <w:sz w:val="14"/>
                <w:szCs w:val="14"/>
                <w:color w:val="auto"/>
              </w:rPr>
              <w:t>Alaska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468</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495</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740" w:type="dxa"/>
            <w:vAlign w:val="bottom"/>
          </w:tcPr>
          <w:p>
            <w:pPr>
              <w:jc w:val="right"/>
              <w:spacing w:after="0"/>
              <w:rPr>
                <w:sz w:val="20"/>
                <w:szCs w:val="20"/>
                <w:color w:val="auto"/>
              </w:rPr>
            </w:pPr>
            <w:r>
              <w:rPr>
                <w:rFonts w:ascii="Arial" w:cs="Arial" w:eastAsia="Arial" w:hAnsi="Arial"/>
                <w:sz w:val="14"/>
                <w:szCs w:val="14"/>
                <w:color w:val="auto"/>
              </w:rPr>
              <w:t>473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466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191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0" w:type="dxa"/>
            <w:vAlign w:val="bottom"/>
            <w:shd w:val="clear" w:color="auto" w:fill="CCEEFF"/>
          </w:tcPr>
          <w:p>
            <w:pPr>
              <w:spacing w:after="0"/>
              <w:rPr>
                <w:sz w:val="24"/>
                <w:szCs w:val="24"/>
                <w:color w:val="auto"/>
              </w:rPr>
            </w:pP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Lower 48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1,766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1,626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1,588</w:t>
            </w:r>
          </w:p>
        </w:tc>
        <w:tc>
          <w:tcPr>
            <w:tcW w:w="740" w:type="dxa"/>
            <w:vAlign w:val="bottom"/>
          </w:tcPr>
          <w:p>
            <w:pPr>
              <w:jc w:val="right"/>
              <w:spacing w:after="0"/>
              <w:rPr>
                <w:sz w:val="20"/>
                <w:szCs w:val="20"/>
                <w:color w:val="auto"/>
              </w:rPr>
            </w:pPr>
            <w:r>
              <w:rPr>
                <w:rFonts w:ascii="Arial" w:cs="Arial" w:eastAsia="Arial" w:hAnsi="Arial"/>
                <w:sz w:val="14"/>
                <w:szCs w:val="14"/>
                <w:color w:val="auto"/>
              </w:rPr>
              <w:t>1,658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6,638</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2,238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1,781</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1,585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20" w:type="dxa"/>
            <w:vAlign w:val="bottom"/>
            <w:shd w:val="clear" w:color="auto" w:fill="CCEEFF"/>
          </w:tcPr>
          <w:p>
            <w:pPr>
              <w:spacing w:after="0"/>
              <w:rPr>
                <w:sz w:val="24"/>
                <w:szCs w:val="24"/>
                <w:color w:val="auto"/>
              </w:rPr>
            </w:pP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Canada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740" w:type="dxa"/>
            <w:vAlign w:val="bottom"/>
          </w:tcPr>
          <w:p>
            <w:pPr>
              <w:jc w:val="right"/>
              <w:spacing w:after="0"/>
              <w:rPr>
                <w:sz w:val="20"/>
                <w:szCs w:val="20"/>
                <w:color w:val="auto"/>
              </w:rPr>
            </w:pPr>
            <w:r>
              <w:rPr>
                <w:rFonts w:ascii="Arial" w:cs="Arial" w:eastAsia="Arial" w:hAnsi="Arial"/>
                <w:sz w:val="14"/>
                <w:szCs w:val="14"/>
                <w:color w:val="auto"/>
              </w:rPr>
              <w:t>322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337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248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20" w:type="dxa"/>
            <w:vAlign w:val="bottom"/>
            <w:shd w:val="clear" w:color="auto" w:fill="CCEEFF"/>
          </w:tcPr>
          <w:p>
            <w:pPr>
              <w:spacing w:after="0"/>
              <w:rPr>
                <w:sz w:val="24"/>
                <w:szCs w:val="24"/>
                <w:color w:val="auto"/>
              </w:rPr>
            </w:pP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1,081</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917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976</w:t>
            </w:r>
          </w:p>
        </w:tc>
        <w:tc>
          <w:tcPr>
            <w:tcW w:w="740" w:type="dxa"/>
            <w:vAlign w:val="bottom"/>
          </w:tcPr>
          <w:p>
            <w:pPr>
              <w:jc w:val="right"/>
              <w:spacing w:after="0"/>
              <w:rPr>
                <w:sz w:val="20"/>
                <w:szCs w:val="20"/>
                <w:color w:val="auto"/>
              </w:rPr>
            </w:pPr>
            <w:r>
              <w:rPr>
                <w:rFonts w:ascii="Arial" w:cs="Arial" w:eastAsia="Arial" w:hAnsi="Arial"/>
                <w:sz w:val="14"/>
                <w:szCs w:val="14"/>
                <w:color w:val="auto"/>
              </w:rPr>
              <w:t>1,069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1,341</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830</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1,003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w:t>
            </w:r>
          </w:p>
        </w:tc>
        <w:tc>
          <w:tcPr>
            <w:tcW w:w="20" w:type="dxa"/>
            <w:vAlign w:val="bottom"/>
            <w:shd w:val="clear" w:color="auto" w:fill="CCEEFF"/>
          </w:tcPr>
          <w:p>
            <w:pPr>
              <w:spacing w:after="0"/>
              <w:rPr>
                <w:sz w:val="24"/>
                <w:szCs w:val="24"/>
                <w:color w:val="auto"/>
              </w:rPr>
            </w:pP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539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528</w:t>
            </w:r>
          </w:p>
        </w:tc>
        <w:tc>
          <w:tcPr>
            <w:tcW w:w="740" w:type="dxa"/>
            <w:vAlign w:val="bottom"/>
          </w:tcPr>
          <w:p>
            <w:pPr>
              <w:jc w:val="right"/>
              <w:spacing w:after="0"/>
              <w:rPr>
                <w:sz w:val="20"/>
                <w:szCs w:val="20"/>
                <w:color w:val="auto"/>
              </w:rPr>
            </w:pPr>
            <w:r>
              <w:rPr>
                <w:rFonts w:ascii="Arial" w:cs="Arial" w:eastAsia="Arial" w:hAnsi="Arial"/>
                <w:sz w:val="14"/>
                <w:szCs w:val="14"/>
                <w:color w:val="auto"/>
              </w:rPr>
              <w:t>350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375</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397</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398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20" w:type="dxa"/>
            <w:vAlign w:val="bottom"/>
            <w:shd w:val="clear" w:color="auto" w:fill="CCEEFF"/>
          </w:tcPr>
          <w:p>
            <w:pPr>
              <w:spacing w:after="0"/>
              <w:rPr>
                <w:sz w:val="24"/>
                <w:szCs w:val="24"/>
                <w:color w:val="auto"/>
              </w:rPr>
            </w:pP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Other International</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2</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24"/>
                <w:szCs w:val="24"/>
                <w:color w:val="auto"/>
              </w:rPr>
            </w:pP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100" w:type="dxa"/>
            <w:vAlign w:val="bottom"/>
          </w:tcPr>
          <w:p>
            <w:pPr>
              <w:jc w:val="right"/>
              <w:spacing w:after="0"/>
              <w:rPr>
                <w:sz w:val="20"/>
                <w:szCs w:val="20"/>
                <w:color w:val="auto"/>
              </w:rPr>
            </w:pPr>
            <w:r>
              <w:rPr>
                <w:rFonts w:ascii="Arial" w:cs="Arial" w:eastAsia="Arial" w:hAnsi="Arial"/>
                <w:sz w:val="14"/>
                <w:szCs w:val="14"/>
                <w:color w:val="auto"/>
              </w:rPr>
              <w:t>(259)</w:t>
            </w:r>
          </w:p>
        </w:tc>
        <w:tc>
          <w:tcPr>
            <w:tcW w:w="740" w:type="dxa"/>
            <w:vAlign w:val="bottom"/>
          </w:tcPr>
          <w:p>
            <w:pPr>
              <w:jc w:val="right"/>
              <w:spacing w:after="0"/>
              <w:rPr>
                <w:sz w:val="20"/>
                <w:szCs w:val="20"/>
                <w:color w:val="auto"/>
              </w:rPr>
            </w:pPr>
            <w:r>
              <w:rPr>
                <w:rFonts w:ascii="Arial" w:cs="Arial" w:eastAsia="Arial" w:hAnsi="Arial"/>
                <w:sz w:val="14"/>
                <w:szCs w:val="14"/>
                <w:color w:val="auto"/>
              </w:rPr>
              <w:t>(268)</w:t>
            </w:r>
          </w:p>
        </w:tc>
        <w:tc>
          <w:tcPr>
            <w:tcW w:w="760" w:type="dxa"/>
            <w:vAlign w:val="bottom"/>
          </w:tcPr>
          <w:p>
            <w:pPr>
              <w:jc w:val="right"/>
              <w:spacing w:after="0"/>
              <w:rPr>
                <w:sz w:val="20"/>
                <w:szCs w:val="20"/>
                <w:color w:val="auto"/>
              </w:rPr>
            </w:pPr>
            <w:r>
              <w:rPr>
                <w:rFonts w:ascii="Arial" w:cs="Arial" w:eastAsia="Arial" w:hAnsi="Arial"/>
                <w:sz w:val="14"/>
                <w:szCs w:val="14"/>
                <w:color w:val="auto"/>
              </w:rPr>
              <w:t>(263)</w:t>
            </w:r>
          </w:p>
        </w:tc>
        <w:tc>
          <w:tcPr>
            <w:tcW w:w="740" w:type="dxa"/>
            <w:vAlign w:val="bottom"/>
          </w:tcPr>
          <w:p>
            <w:pPr>
              <w:jc w:val="right"/>
              <w:spacing w:after="0"/>
              <w:rPr>
                <w:sz w:val="20"/>
                <w:szCs w:val="20"/>
                <w:color w:val="auto"/>
              </w:rPr>
            </w:pPr>
            <w:r>
              <w:rPr>
                <w:rFonts w:ascii="Arial" w:cs="Arial" w:eastAsia="Arial" w:hAnsi="Arial"/>
                <w:sz w:val="14"/>
                <w:szCs w:val="14"/>
                <w:color w:val="auto"/>
              </w:rPr>
              <w:t>(897)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860" w:type="dxa"/>
            <w:vAlign w:val="bottom"/>
            <w:tcBorders>
              <w:left w:val="single" w:sz="8" w:color="CCEEFF"/>
            </w:tcBorders>
            <w:gridSpan w:val="2"/>
          </w:tcPr>
          <w:p>
            <w:pPr>
              <w:jc w:val="right"/>
              <w:ind w:right="40"/>
              <w:spacing w:after="0"/>
              <w:rPr>
                <w:sz w:val="20"/>
                <w:szCs w:val="20"/>
                <w:color w:val="auto"/>
              </w:rPr>
            </w:pPr>
            <w:r>
              <w:rPr>
                <w:rFonts w:ascii="Arial" w:cs="Arial" w:eastAsia="Arial" w:hAnsi="Arial"/>
                <w:sz w:val="14"/>
                <w:szCs w:val="14"/>
                <w:color w:val="auto"/>
              </w:rPr>
              <w:t>(293)</w:t>
            </w:r>
          </w:p>
        </w:tc>
        <w:tc>
          <w:tcPr>
            <w:tcW w:w="760" w:type="dxa"/>
            <w:vAlign w:val="bottom"/>
          </w:tcPr>
          <w:p>
            <w:pPr>
              <w:jc w:val="right"/>
              <w:spacing w:after="0"/>
              <w:rPr>
                <w:sz w:val="20"/>
                <w:szCs w:val="20"/>
                <w:color w:val="auto"/>
              </w:rPr>
            </w:pPr>
            <w:r>
              <w:rPr>
                <w:rFonts w:ascii="Arial" w:cs="Arial" w:eastAsia="Arial" w:hAnsi="Arial"/>
                <w:sz w:val="14"/>
                <w:szCs w:val="14"/>
                <w:color w:val="auto"/>
              </w:rPr>
              <w:t>(373)</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(501)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(1,167)</w:t>
            </w:r>
          </w:p>
        </w:tc>
      </w:tr>
      <w:tr>
        <w:trPr>
          <w:trHeight w:val="156"/>
        </w:trPr>
        <w:tc>
          <w:tcPr>
            <w:tcW w:w="3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left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3,808</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3,659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3,235</w:t>
            </w:r>
          </w:p>
        </w:tc>
        <w:tc>
          <w:tcPr>
            <w:tcW w:w="740" w:type="dxa"/>
            <w:vAlign w:val="bottom"/>
          </w:tcPr>
          <w:p>
            <w:pPr>
              <w:jc w:val="right"/>
              <w:spacing w:after="0"/>
              <w:rPr>
                <w:sz w:val="20"/>
                <w:szCs w:val="20"/>
                <w:color w:val="auto"/>
              </w:rPr>
            </w:pPr>
            <w:r>
              <w:rPr>
                <w:rFonts w:ascii="Arial" w:cs="Arial" w:eastAsia="Arial" w:hAnsi="Arial"/>
                <w:sz w:val="14"/>
                <w:szCs w:val="14"/>
                <w:color w:val="auto"/>
              </w:rPr>
              <w:t>2,970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13,672</w:t>
            </w:r>
          </w:p>
        </w:tc>
        <w:tc>
          <w:tcPr>
            <w:tcW w:w="86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4,466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3,017</w:t>
            </w: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2,928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10,411</w:t>
            </w:r>
          </w:p>
        </w:tc>
        <w:tc>
          <w:tcPr>
            <w:tcW w:w="20" w:type="dxa"/>
            <w:vAlign w:val="bottom"/>
            <w:shd w:val="clear" w:color="auto" w:fill="CCEEFF"/>
          </w:tcPr>
          <w:p>
            <w:pPr>
              <w:spacing w:after="0"/>
              <w:rPr>
                <w:sz w:val="18"/>
                <w:szCs w:val="18"/>
                <w:color w:val="auto"/>
              </w:rPr>
            </w:pPr>
          </w:p>
        </w:tc>
      </w:tr>
      <w:tr>
        <w:trPr>
          <w:trHeight w:val="20"/>
        </w:trPr>
        <w:tc>
          <w:tcPr>
            <w:tcW w:w="3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2" w:right="339" w:bottom="1440" w:gutter="0" w:footer="0" w:header="0"/>
        </w:sectPr>
      </w:pPr>
    </w:p>
    <w:bookmarkStart w:id="11" w:name="page12"/>
    <w:bookmarkEnd w:id="1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95"/>
        </w:trPr>
        <w:tc>
          <w:tcPr>
            <w:tcW w:w="3120" w:type="dxa"/>
            <w:vAlign w:val="bottom"/>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1st Qtr</w:t>
            </w: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2nd Qtr</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3rd Qtr</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4th Qtr</w:t>
            </w:r>
          </w:p>
        </w:tc>
        <w:tc>
          <w:tcPr>
            <w:tcW w:w="8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0000FF"/>
              </w:rPr>
              <w:t>EFFECTIVE INCOME TAX RATES</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413"/>
        </w:trPr>
        <w:tc>
          <w:tcPr>
            <w:tcW w:w="3120" w:type="dxa"/>
            <w:vAlign w:val="bottom"/>
          </w:tcPr>
          <w:p>
            <w:pPr>
              <w:ind w:left="20"/>
              <w:spacing w:after="0"/>
              <w:rPr>
                <w:sz w:val="20"/>
                <w:szCs w:val="20"/>
                <w:color w:val="auto"/>
              </w:rPr>
            </w:pPr>
            <w:r>
              <w:rPr>
                <w:rFonts w:ascii="Arial" w:cs="Arial" w:eastAsia="Arial" w:hAnsi="Arial"/>
                <w:sz w:val="14"/>
                <w:szCs w:val="14"/>
                <w:color w:val="auto"/>
              </w:rPr>
              <w:t>Alaska*</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26.1 %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27.4 %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27.6 %</w:t>
            </w:r>
          </w:p>
        </w:tc>
        <w:tc>
          <w:tcPr>
            <w:tcW w:w="740" w:type="dxa"/>
            <w:vAlign w:val="bottom"/>
          </w:tcPr>
          <w:p>
            <w:pPr>
              <w:jc w:val="right"/>
              <w:spacing w:after="0"/>
              <w:rPr>
                <w:sz w:val="20"/>
                <w:szCs w:val="20"/>
                <w:color w:val="auto"/>
              </w:rPr>
            </w:pPr>
            <w:r>
              <w:rPr>
                <w:rFonts w:ascii="Arial" w:cs="Arial" w:eastAsia="Arial" w:hAnsi="Arial"/>
                <w:sz w:val="14"/>
                <w:szCs w:val="14"/>
                <w:color w:val="auto"/>
              </w:rPr>
              <w:t>25.4 %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Lower 48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21.8 %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22.6 %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21.9 %</w:t>
            </w:r>
          </w:p>
        </w:tc>
        <w:tc>
          <w:tcPr>
            <w:tcW w:w="740" w:type="dxa"/>
            <w:vAlign w:val="bottom"/>
          </w:tcPr>
          <w:p>
            <w:pPr>
              <w:jc w:val="right"/>
              <w:spacing w:after="0"/>
              <w:rPr>
                <w:sz w:val="20"/>
                <w:szCs w:val="20"/>
                <w:color w:val="auto"/>
              </w:rPr>
            </w:pPr>
            <w:r>
              <w:rPr>
                <w:rFonts w:ascii="Arial" w:cs="Arial" w:eastAsia="Arial" w:hAnsi="Arial"/>
                <w:sz w:val="14"/>
                <w:szCs w:val="14"/>
                <w:color w:val="auto"/>
              </w:rPr>
              <w:t>21.9 %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Canada</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23.6 %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24.6 %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30.9 %</w:t>
            </w:r>
          </w:p>
        </w:tc>
        <w:tc>
          <w:tcPr>
            <w:tcW w:w="740" w:type="dxa"/>
            <w:vAlign w:val="bottom"/>
          </w:tcPr>
          <w:p>
            <w:pPr>
              <w:jc w:val="right"/>
              <w:spacing w:after="0"/>
              <w:rPr>
                <w:sz w:val="20"/>
                <w:szCs w:val="20"/>
                <w:color w:val="auto"/>
              </w:rPr>
            </w:pPr>
            <w:r>
              <w:rPr>
                <w:rFonts w:ascii="Arial" w:cs="Arial" w:eastAsia="Arial" w:hAnsi="Arial"/>
                <w:sz w:val="14"/>
                <w:szCs w:val="14"/>
                <w:color w:val="auto"/>
              </w:rPr>
              <w:t>23.5 %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71.9 %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72.5 %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69.5 %</w:t>
            </w:r>
          </w:p>
        </w:tc>
        <w:tc>
          <w:tcPr>
            <w:tcW w:w="740" w:type="dxa"/>
            <w:vAlign w:val="bottom"/>
          </w:tcPr>
          <w:p>
            <w:pPr>
              <w:jc w:val="right"/>
              <w:spacing w:after="0"/>
              <w:rPr>
                <w:sz w:val="20"/>
                <w:szCs w:val="20"/>
                <w:color w:val="auto"/>
              </w:rPr>
            </w:pPr>
            <w:r>
              <w:rPr>
                <w:rFonts w:ascii="Arial" w:cs="Arial" w:eastAsia="Arial" w:hAnsi="Arial"/>
                <w:sz w:val="14"/>
                <w:szCs w:val="14"/>
                <w:color w:val="auto"/>
              </w:rPr>
              <w:t>68.6 %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70.6 %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0.9 %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17.8 %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13.7 %</w:t>
            </w:r>
          </w:p>
        </w:tc>
        <w:tc>
          <w:tcPr>
            <w:tcW w:w="740" w:type="dxa"/>
            <w:vAlign w:val="bottom"/>
          </w:tcPr>
          <w:p>
            <w:pPr>
              <w:jc w:val="right"/>
              <w:spacing w:after="0"/>
              <w:rPr>
                <w:sz w:val="20"/>
                <w:szCs w:val="20"/>
                <w:color w:val="auto"/>
              </w:rPr>
            </w:pPr>
            <w:r>
              <w:rPr>
                <w:rFonts w:ascii="Arial" w:cs="Arial" w:eastAsia="Arial" w:hAnsi="Arial"/>
                <w:sz w:val="14"/>
                <w:szCs w:val="14"/>
                <w:color w:val="auto"/>
              </w:rPr>
              <w:t>10.7 %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Other International</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7.7 %</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3.4 %</w:t>
            </w:r>
          </w:p>
        </w:tc>
        <w:tc>
          <w:tcPr>
            <w:tcW w:w="740" w:type="dxa"/>
            <w:vAlign w:val="bottom"/>
          </w:tcPr>
          <w:p>
            <w:pPr>
              <w:jc w:val="right"/>
              <w:spacing w:after="0"/>
              <w:rPr>
                <w:sz w:val="20"/>
                <w:szCs w:val="20"/>
                <w:color w:val="auto"/>
              </w:rPr>
            </w:pPr>
            <w:r>
              <w:rPr>
                <w:rFonts w:ascii="Arial" w:cs="Arial" w:eastAsia="Arial" w:hAnsi="Arial"/>
                <w:sz w:val="14"/>
                <w:szCs w:val="14"/>
                <w:color w:val="auto"/>
              </w:rPr>
              <w:t>18.0 %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42.0 %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33.8 %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13.4 %</w:t>
            </w:r>
          </w:p>
        </w:tc>
        <w:tc>
          <w:tcPr>
            <w:tcW w:w="740" w:type="dxa"/>
            <w:vAlign w:val="bottom"/>
          </w:tcPr>
          <w:p>
            <w:pPr>
              <w:jc w:val="right"/>
              <w:spacing w:after="0"/>
              <w:rPr>
                <w:sz w:val="20"/>
                <w:szCs w:val="20"/>
                <w:color w:val="auto"/>
              </w:rPr>
            </w:pPr>
            <w:r>
              <w:rPr>
                <w:rFonts w:ascii="Arial" w:cs="Arial" w:eastAsia="Arial" w:hAnsi="Arial"/>
                <w:sz w:val="14"/>
                <w:szCs w:val="14"/>
                <w:color w:val="auto"/>
              </w:rPr>
              <w:t>74.2 %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47.9 %</w:t>
            </w:r>
          </w:p>
        </w:tc>
      </w:tr>
      <w:tr>
        <w:trPr>
          <w:trHeight w:val="157"/>
        </w:trPr>
        <w:tc>
          <w:tcPr>
            <w:tcW w:w="3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shd w:val="clear" w:color="auto" w:fill="CCEEFF"/>
          </w:tcPr>
          <w:p>
            <w:pPr>
              <w:spacing w:after="0"/>
              <w:rPr>
                <w:sz w:val="13"/>
                <w:szCs w:val="13"/>
                <w:color w:val="auto"/>
              </w:rPr>
            </w:pPr>
          </w:p>
        </w:tc>
      </w:tr>
      <w:tr>
        <w:trPr>
          <w:trHeight w:val="23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33.0 %</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36.3 %</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i w:val="1"/>
                <w:iCs w:val="1"/>
                <w:color w:val="auto"/>
              </w:rPr>
              <w:t>*Alaska including taxes other than income taxes</w:t>
            </w:r>
          </w:p>
        </w:tc>
        <w:tc>
          <w:tcPr>
            <w:tcW w:w="860" w:type="dxa"/>
            <w:vAlign w:val="bottom"/>
          </w:tcPr>
          <w:p>
            <w:pPr>
              <w:jc w:val="right"/>
              <w:ind w:right="8"/>
              <w:spacing w:after="0"/>
              <w:rPr>
                <w:sz w:val="20"/>
                <w:szCs w:val="20"/>
                <w:color w:val="auto"/>
              </w:rPr>
            </w:pPr>
            <w:r>
              <w:rPr>
                <w:rFonts w:ascii="Arial" w:cs="Arial" w:eastAsia="Arial" w:hAnsi="Arial"/>
                <w:sz w:val="14"/>
                <w:szCs w:val="14"/>
                <w:i w:val="1"/>
                <w:iCs w:val="1"/>
                <w:color w:val="auto"/>
              </w:rPr>
              <w:t>42.5 %</w:t>
            </w:r>
          </w:p>
        </w:tc>
        <w:tc>
          <w:tcPr>
            <w:tcW w:w="820" w:type="dxa"/>
            <w:vAlign w:val="bottom"/>
          </w:tcPr>
          <w:p>
            <w:pPr>
              <w:jc w:val="right"/>
              <w:ind w:right="8"/>
              <w:spacing w:after="0"/>
              <w:rPr>
                <w:sz w:val="20"/>
                <w:szCs w:val="20"/>
                <w:color w:val="auto"/>
              </w:rPr>
            </w:pPr>
            <w:r>
              <w:rPr>
                <w:rFonts w:ascii="Arial" w:cs="Arial" w:eastAsia="Arial" w:hAnsi="Arial"/>
                <w:sz w:val="14"/>
                <w:szCs w:val="14"/>
                <w:i w:val="1"/>
                <w:iCs w:val="1"/>
                <w:color w:val="auto"/>
              </w:rPr>
              <w:t>42.5 %</w:t>
            </w:r>
          </w:p>
        </w:tc>
        <w:tc>
          <w:tcPr>
            <w:tcW w:w="820" w:type="dxa"/>
            <w:vAlign w:val="bottom"/>
          </w:tcPr>
          <w:p>
            <w:pPr>
              <w:jc w:val="right"/>
              <w:ind w:right="28"/>
              <w:spacing w:after="0"/>
              <w:rPr>
                <w:sz w:val="20"/>
                <w:szCs w:val="20"/>
                <w:color w:val="auto"/>
              </w:rPr>
            </w:pPr>
            <w:r>
              <w:rPr>
                <w:rFonts w:ascii="Arial" w:cs="Arial" w:eastAsia="Arial" w:hAnsi="Arial"/>
                <w:sz w:val="14"/>
                <w:szCs w:val="14"/>
                <w:i w:val="1"/>
                <w:iCs w:val="1"/>
                <w:color w:val="auto"/>
              </w:rPr>
              <w:t>42.8 %</w:t>
            </w: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39.3 %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shd w:val="clear" w:color="auto" w:fill="CCEEFF"/>
              </w:rPr>
              <w:t>%</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1st Qtr</w:t>
            </w:r>
          </w:p>
        </w:tc>
        <w:tc>
          <w:tcPr>
            <w:tcW w:w="8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2nd Qtr</w:t>
            </w: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3rd Qtr    4th Qtr</w:t>
            </w:r>
          </w:p>
        </w:tc>
        <w:tc>
          <w:tcPr>
            <w:tcW w:w="820" w:type="dxa"/>
            <w:vAlign w:val="bottom"/>
            <w:tcBorders>
              <w:top w:val="single" w:sz="8" w:color="auto"/>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YTD</w:t>
            </w:r>
          </w:p>
        </w:tc>
      </w:tr>
      <w:tr>
        <w:trPr>
          <w:trHeight w:val="594"/>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29.8 %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26.0 %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32.0 %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29.5 %</w:t>
            </w:r>
          </w:p>
        </w:tc>
      </w:tr>
      <w:tr>
        <w:trPr>
          <w:trHeight w:val="351"/>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20.0 %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21.5 %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21.7 %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351"/>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24.1 %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25.2 %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24.1 %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24.4 %</w:t>
            </w:r>
          </w:p>
        </w:tc>
      </w:tr>
      <w:tr>
        <w:trPr>
          <w:trHeight w:val="351"/>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68.8 %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71.4 %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67.4 %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69.0 %</w:t>
            </w:r>
          </w:p>
        </w:tc>
      </w:tr>
      <w:tr>
        <w:trPr>
          <w:trHeight w:val="351"/>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17.1 %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16.8 %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22.5 %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18.8 %</w:t>
            </w:r>
          </w:p>
        </w:tc>
      </w:tr>
      <w:tr>
        <w:trPr>
          <w:trHeight w:val="351"/>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0.6 %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29.7 %</w:t>
            </w:r>
          </w:p>
        </w:tc>
        <w:tc>
          <w:tcPr>
            <w:tcW w:w="142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4.5 %</w:t>
            </w:r>
          </w:p>
        </w:tc>
      </w:tr>
      <w:tr>
        <w:trPr>
          <w:trHeight w:val="351"/>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12.6 %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24.9 %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5.8 %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13.6 %</w:t>
            </w:r>
          </w:p>
        </w:tc>
      </w:tr>
      <w:tr>
        <w:trPr>
          <w:trHeight w:val="157"/>
        </w:trPr>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shd w:val="clear" w:color="auto" w:fill="CCEEFF"/>
          </w:tcPr>
          <w:p>
            <w:pPr>
              <w:spacing w:after="0"/>
              <w:rPr>
                <w:sz w:val="13"/>
                <w:szCs w:val="13"/>
                <w:color w:val="auto"/>
              </w:rPr>
            </w:pPr>
          </w:p>
        </w:tc>
      </w:tr>
      <w:tr>
        <w:trPr>
          <w:trHeight w:val="237"/>
        </w:trPr>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36.2 %</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34.7 %</w:t>
            </w:r>
          </w:p>
        </w:tc>
        <w:tc>
          <w:tcPr>
            <w:tcW w:w="14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41.0 %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96"/>
        </w:trPr>
        <w:tc>
          <w:tcPr>
            <w:tcW w:w="880" w:type="dxa"/>
            <w:vAlign w:val="bottom"/>
          </w:tcPr>
          <w:p>
            <w:pPr>
              <w:jc w:val="right"/>
              <w:ind w:right="8"/>
              <w:spacing w:after="0"/>
              <w:rPr>
                <w:sz w:val="20"/>
                <w:szCs w:val="20"/>
                <w:color w:val="auto"/>
              </w:rPr>
            </w:pPr>
            <w:r>
              <w:rPr>
                <w:rFonts w:ascii="Arial" w:cs="Arial" w:eastAsia="Arial" w:hAnsi="Arial"/>
                <w:sz w:val="14"/>
                <w:szCs w:val="14"/>
                <w:i w:val="1"/>
                <w:iCs w:val="1"/>
                <w:color w:val="auto"/>
              </w:rPr>
              <w:t>37.8 %</w:t>
            </w:r>
          </w:p>
        </w:tc>
        <w:tc>
          <w:tcPr>
            <w:tcW w:w="840" w:type="dxa"/>
            <w:vAlign w:val="bottom"/>
          </w:tcPr>
          <w:p>
            <w:pPr>
              <w:jc w:val="right"/>
              <w:ind w:right="28"/>
              <w:spacing w:after="0"/>
              <w:rPr>
                <w:sz w:val="20"/>
                <w:szCs w:val="20"/>
                <w:color w:val="auto"/>
              </w:rPr>
            </w:pPr>
            <w:r>
              <w:rPr>
                <w:rFonts w:ascii="Arial" w:cs="Arial" w:eastAsia="Arial" w:hAnsi="Arial"/>
                <w:sz w:val="14"/>
                <w:szCs w:val="14"/>
                <w:i w:val="1"/>
                <w:iCs w:val="1"/>
                <w:color w:val="auto"/>
              </w:rPr>
              <w:t>56.6 %</w:t>
            </w:r>
          </w:p>
        </w:tc>
        <w:tc>
          <w:tcPr>
            <w:tcW w:w="1420" w:type="dxa"/>
            <w:vAlign w:val="bottom"/>
          </w:tcPr>
          <w:p>
            <w:pPr>
              <w:jc w:val="right"/>
              <w:ind w:right="628"/>
              <w:spacing w:after="0"/>
              <w:rPr>
                <w:sz w:val="20"/>
                <w:szCs w:val="20"/>
                <w:color w:val="auto"/>
              </w:rPr>
            </w:pPr>
            <w:r>
              <w:rPr>
                <w:rFonts w:ascii="Arial" w:cs="Arial" w:eastAsia="Arial" w:hAnsi="Arial"/>
                <w:sz w:val="14"/>
                <w:szCs w:val="14"/>
                <w:i w:val="1"/>
                <w:iCs w:val="1"/>
                <w:color w:val="auto"/>
              </w:rPr>
              <w:t>58.8 %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9"/>
                <w:shd w:val="clear" w:color="auto" w:fill="CCEEFF"/>
              </w:rPr>
              <w:t>%</w:t>
            </w:r>
          </w:p>
        </w:tc>
      </w:tr>
    </w:tbl>
    <w:p>
      <w:pPr>
        <w:sectPr>
          <w:pgSz w:w="11900" w:h="16838" w:orient="portrait"/>
          <w:cols w:equalWidth="0" w:num="2">
            <w:col w:w="7180" w:space="100"/>
            <w:col w:w="3960"/>
          </w:cols>
          <w:pgMar w:left="320" w:top="1440" w:right="3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4th Qtr</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 Millions</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EARNINGS BY SEGMENT</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45"/>
        </w:trPr>
        <w:tc>
          <w:tcPr>
            <w:tcW w:w="3600" w:type="dxa"/>
            <w:vAlign w:val="bottom"/>
          </w:tcPr>
          <w:p>
            <w:pPr>
              <w:ind w:left="20"/>
              <w:spacing w:after="0"/>
              <w:rPr>
                <w:sz w:val="20"/>
                <w:szCs w:val="20"/>
                <w:color w:val="auto"/>
              </w:rPr>
            </w:pPr>
            <w:r>
              <w:rPr>
                <w:rFonts w:ascii="Arial" w:cs="Arial" w:eastAsia="Arial" w:hAnsi="Arial"/>
                <w:sz w:val="14"/>
                <w:szCs w:val="14"/>
                <w:color w:val="auto"/>
              </w:rPr>
              <w:t>Alaska</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740" w:type="dxa"/>
            <w:vAlign w:val="bottom"/>
          </w:tcPr>
          <w:p>
            <w:pPr>
              <w:jc w:val="right"/>
              <w:spacing w:after="0"/>
              <w:rPr>
                <w:sz w:val="20"/>
                <w:szCs w:val="20"/>
                <w:color w:val="auto"/>
              </w:rPr>
            </w:pPr>
            <w:r>
              <w:rPr>
                <w:rFonts w:ascii="Arial" w:cs="Arial" w:eastAsia="Arial" w:hAnsi="Arial"/>
                <w:sz w:val="14"/>
                <w:szCs w:val="14"/>
                <w:color w:val="auto"/>
              </w:rPr>
              <w:t>1,326</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Lower 48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1,381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1,259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1,241</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1,294</w:t>
            </w:r>
          </w:p>
        </w:tc>
        <w:tc>
          <w:tcPr>
            <w:tcW w:w="740" w:type="dxa"/>
            <w:vAlign w:val="bottom"/>
          </w:tcPr>
          <w:p>
            <w:pPr>
              <w:jc w:val="right"/>
              <w:spacing w:after="0"/>
              <w:rPr>
                <w:sz w:val="20"/>
                <w:szCs w:val="20"/>
                <w:color w:val="auto"/>
              </w:rPr>
            </w:pPr>
            <w:r>
              <w:rPr>
                <w:rFonts w:ascii="Arial" w:cs="Arial" w:eastAsia="Arial" w:hAnsi="Arial"/>
                <w:sz w:val="14"/>
                <w:szCs w:val="14"/>
                <w:color w:val="auto"/>
              </w:rPr>
              <w:t>5,175</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Canada</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246</w:t>
            </w:r>
          </w:p>
        </w:tc>
        <w:tc>
          <w:tcPr>
            <w:tcW w:w="740" w:type="dxa"/>
            <w:vAlign w:val="bottom"/>
          </w:tcPr>
          <w:p>
            <w:pPr>
              <w:jc w:val="right"/>
              <w:spacing w:after="0"/>
              <w:rPr>
                <w:sz w:val="20"/>
                <w:szCs w:val="20"/>
                <w:color w:val="auto"/>
              </w:rPr>
            </w:pPr>
            <w:r>
              <w:rPr>
                <w:rFonts w:ascii="Arial" w:cs="Arial" w:eastAsia="Arial" w:hAnsi="Arial"/>
                <w:sz w:val="14"/>
                <w:szCs w:val="14"/>
                <w:color w:val="auto"/>
              </w:rPr>
              <w:t>712</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336</w:t>
            </w:r>
          </w:p>
        </w:tc>
        <w:tc>
          <w:tcPr>
            <w:tcW w:w="740" w:type="dxa"/>
            <w:vAlign w:val="bottom"/>
          </w:tcPr>
          <w:p>
            <w:pPr>
              <w:jc w:val="right"/>
              <w:spacing w:after="0"/>
              <w:rPr>
                <w:sz w:val="20"/>
                <w:szCs w:val="20"/>
                <w:color w:val="auto"/>
              </w:rPr>
            </w:pPr>
            <w:r>
              <w:rPr>
                <w:rFonts w:ascii="Arial" w:cs="Arial" w:eastAsia="Arial" w:hAnsi="Arial"/>
                <w:sz w:val="14"/>
                <w:szCs w:val="14"/>
                <w:color w:val="auto"/>
              </w:rPr>
              <w:t>1,189</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313</w:t>
            </w:r>
          </w:p>
        </w:tc>
        <w:tc>
          <w:tcPr>
            <w:tcW w:w="74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Other International</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720" w:type="dxa"/>
            <w:vAlign w:val="bottom"/>
          </w:tcPr>
          <w:p>
            <w:pPr>
              <w:jc w:val="right"/>
              <w:spacing w:after="0"/>
              <w:rPr>
                <w:sz w:val="20"/>
                <w:szCs w:val="20"/>
                <w:color w:val="auto"/>
              </w:rPr>
            </w:pPr>
            <w:r>
              <w:rPr>
                <w:rFonts w:ascii="Arial" w:cs="Arial" w:eastAsia="Arial" w:hAnsi="Arial"/>
                <w:sz w:val="14"/>
                <w:szCs w:val="14"/>
                <w:color w:val="auto"/>
              </w:rPr>
              <w:t>(232)</w:t>
            </w:r>
          </w:p>
        </w:tc>
        <w:tc>
          <w:tcPr>
            <w:tcW w:w="740" w:type="dxa"/>
            <w:vAlign w:val="bottom"/>
          </w:tcPr>
          <w:p>
            <w:pPr>
              <w:jc w:val="right"/>
              <w:spacing w:after="0"/>
              <w:rPr>
                <w:sz w:val="20"/>
                <w:szCs w:val="20"/>
                <w:color w:val="auto"/>
              </w:rPr>
            </w:pPr>
            <w:r>
              <w:rPr>
                <w:rFonts w:ascii="Arial" w:cs="Arial" w:eastAsia="Arial" w:hAnsi="Arial"/>
                <w:sz w:val="14"/>
                <w:szCs w:val="14"/>
                <w:color w:val="auto"/>
              </w:rPr>
              <w:t>(880)</w:t>
            </w:r>
          </w:p>
        </w:tc>
      </w:tr>
      <w:tr>
        <w:trPr>
          <w:trHeight w:val="157"/>
        </w:trPr>
        <w:tc>
          <w:tcPr>
            <w:tcW w:w="3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9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2,551</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2,329</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2,059</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9,245</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99"/>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SPECIAL ITEMS</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5"/>
        </w:trPr>
        <w:tc>
          <w:tcPr>
            <w:tcW w:w="3600" w:type="dxa"/>
            <w:vAlign w:val="bottom"/>
          </w:tcPr>
          <w:p>
            <w:pPr>
              <w:ind w:left="20"/>
              <w:spacing w:after="0"/>
              <w:rPr>
                <w:sz w:val="20"/>
                <w:szCs w:val="20"/>
                <w:color w:val="auto"/>
              </w:rPr>
            </w:pPr>
            <w:r>
              <w:rPr>
                <w:rFonts w:ascii="Arial" w:cs="Arial" w:eastAsia="Arial" w:hAnsi="Arial"/>
                <w:sz w:val="14"/>
                <w:szCs w:val="14"/>
                <w:color w:val="auto"/>
              </w:rPr>
              <w:t>Alaska</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Lower 48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Canada</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Other International</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720" w:type="dxa"/>
            <w:vAlign w:val="bottom"/>
          </w:tcPr>
          <w:p>
            <w:pPr>
              <w:jc w:val="right"/>
              <w:spacing w:after="0"/>
              <w:rPr>
                <w:sz w:val="20"/>
                <w:szCs w:val="20"/>
                <w:color w:val="auto"/>
              </w:rPr>
            </w:pPr>
            <w:r>
              <w:rPr>
                <w:rFonts w:ascii="Arial" w:cs="Arial" w:eastAsia="Arial" w:hAnsi="Arial"/>
                <w:sz w:val="14"/>
                <w:szCs w:val="14"/>
                <w:color w:val="auto"/>
              </w:rPr>
              <w:t>(29)</w:t>
            </w:r>
          </w:p>
        </w:tc>
        <w:tc>
          <w:tcPr>
            <w:tcW w:w="7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57"/>
        </w:trPr>
        <w:tc>
          <w:tcPr>
            <w:tcW w:w="3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9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-4431030</wp:posOffset>
            </wp:positionV>
            <wp:extent cx="480060" cy="6772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0060" cy="67722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auto"/>
        </w:rPr>
        <w:t>Detailed reconciliation of these items is provided on page 5.</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ind w:left="20"/>
              <w:spacing w:after="0"/>
              <w:rPr>
                <w:sz w:val="20"/>
                <w:szCs w:val="20"/>
                <w:color w:val="auto"/>
              </w:rPr>
            </w:pPr>
            <w:r>
              <w:rPr>
                <w:rFonts w:ascii="Arial" w:cs="Arial" w:eastAsia="Arial" w:hAnsi="Arial"/>
                <w:sz w:val="14"/>
                <w:szCs w:val="14"/>
                <w:b w:val="1"/>
                <w:bCs w:val="1"/>
                <w:color w:val="0000FF"/>
              </w:rPr>
              <w:t>ADJUSTED EARNINGS</w:t>
            </w: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45"/>
        </w:trPr>
        <w:tc>
          <w:tcPr>
            <w:tcW w:w="3160" w:type="dxa"/>
            <w:vAlign w:val="bottom"/>
          </w:tcPr>
          <w:p>
            <w:pPr>
              <w:ind w:left="20"/>
              <w:spacing w:after="0"/>
              <w:rPr>
                <w:sz w:val="20"/>
                <w:szCs w:val="20"/>
                <w:color w:val="auto"/>
              </w:rPr>
            </w:pPr>
            <w:r>
              <w:rPr>
                <w:rFonts w:ascii="Arial" w:cs="Arial" w:eastAsia="Arial" w:hAnsi="Arial"/>
                <w:sz w:val="14"/>
                <w:szCs w:val="14"/>
                <w:color w:val="auto"/>
              </w:rPr>
              <w:t>Alaska</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346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360</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267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353</w:t>
            </w:r>
          </w:p>
        </w:tc>
        <w:tc>
          <w:tcPr>
            <w:tcW w:w="600" w:type="dxa"/>
            <w:vAlign w:val="bottom"/>
          </w:tcPr>
          <w:p>
            <w:pPr>
              <w:jc w:val="right"/>
              <w:spacing w:after="0"/>
              <w:rPr>
                <w:sz w:val="20"/>
                <w:szCs w:val="20"/>
                <w:color w:val="auto"/>
              </w:rPr>
            </w:pPr>
            <w:r>
              <w:rPr>
                <w:rFonts w:ascii="Arial" w:cs="Arial" w:eastAsia="Arial" w:hAnsi="Arial"/>
                <w:sz w:val="14"/>
                <w:szCs w:val="14"/>
                <w:color w:val="auto"/>
              </w:rPr>
              <w:t>1,326</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Lower 48</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1,315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1,259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1,241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1,364</w:t>
            </w:r>
          </w:p>
        </w:tc>
        <w:tc>
          <w:tcPr>
            <w:tcW w:w="600" w:type="dxa"/>
            <w:vAlign w:val="bottom"/>
          </w:tcPr>
          <w:p>
            <w:pPr>
              <w:jc w:val="right"/>
              <w:spacing w:after="0"/>
              <w:rPr>
                <w:sz w:val="20"/>
                <w:szCs w:val="20"/>
                <w:color w:val="auto"/>
              </w:rPr>
            </w:pPr>
            <w:r>
              <w:rPr>
                <w:rFonts w:ascii="Arial" w:cs="Arial" w:eastAsia="Arial" w:hAnsi="Arial"/>
                <w:sz w:val="14"/>
                <w:szCs w:val="14"/>
                <w:color w:val="auto"/>
              </w:rPr>
              <w:t>5,179</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Canada</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180</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261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246</w:t>
            </w:r>
          </w:p>
        </w:tc>
        <w:tc>
          <w:tcPr>
            <w:tcW w:w="600" w:type="dxa"/>
            <w:vAlign w:val="bottom"/>
          </w:tcPr>
          <w:p>
            <w:pPr>
              <w:jc w:val="right"/>
              <w:spacing w:after="0"/>
              <w:rPr>
                <w:sz w:val="20"/>
                <w:szCs w:val="20"/>
                <w:color w:val="auto"/>
              </w:rPr>
            </w:pPr>
            <w:r>
              <w:rPr>
                <w:rFonts w:ascii="Arial" w:cs="Arial" w:eastAsia="Arial" w:hAnsi="Arial"/>
                <w:sz w:val="14"/>
                <w:szCs w:val="14"/>
                <w:color w:val="auto"/>
              </w:rPr>
              <w:t>712</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304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298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336</w:t>
            </w:r>
          </w:p>
        </w:tc>
        <w:tc>
          <w:tcPr>
            <w:tcW w:w="600" w:type="dxa"/>
            <w:vAlign w:val="bottom"/>
          </w:tcPr>
          <w:p>
            <w:pPr>
              <w:jc w:val="right"/>
              <w:spacing w:after="0"/>
              <w:rPr>
                <w:sz w:val="20"/>
                <w:szCs w:val="20"/>
                <w:color w:val="auto"/>
              </w:rPr>
            </w:pPr>
            <w:r>
              <w:rPr>
                <w:rFonts w:ascii="Arial" w:cs="Arial" w:eastAsia="Arial" w:hAnsi="Arial"/>
                <w:sz w:val="14"/>
                <w:szCs w:val="14"/>
                <w:color w:val="auto"/>
              </w:rPr>
              <w:t>1,189</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436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444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455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313</w:t>
            </w:r>
          </w:p>
        </w:tc>
        <w:tc>
          <w:tcPr>
            <w:tcW w:w="600" w:type="dxa"/>
            <w:vAlign w:val="bottom"/>
          </w:tcPr>
          <w:p>
            <w:pPr>
              <w:jc w:val="right"/>
              <w:spacing w:after="0"/>
              <w:rPr>
                <w:sz w:val="20"/>
                <w:szCs w:val="20"/>
                <w:color w:val="auto"/>
              </w:rPr>
            </w:pPr>
            <w:r>
              <w:rPr>
                <w:rFonts w:ascii="Arial" w:cs="Arial" w:eastAsia="Arial" w:hAnsi="Arial"/>
                <w:sz w:val="14"/>
                <w:szCs w:val="14"/>
                <w:color w:val="auto"/>
              </w:rPr>
              <w:t>1,648</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Other International</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(171)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(249)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(203)</w:t>
            </w:r>
          </w:p>
        </w:tc>
        <w:tc>
          <w:tcPr>
            <w:tcW w:w="60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157"/>
        </w:trPr>
        <w:tc>
          <w:tcPr>
            <w:tcW w:w="3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9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2,409</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2,329</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2,081</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2,405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9,224</w:t>
            </w: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3rd Qtr</w:t>
            </w: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r>
      <w:tr>
        <w:trPr>
          <w:trHeight w:val="729"/>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1,790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1,399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1,240</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351"/>
        </w:trPr>
        <w:tc>
          <w:tcPr>
            <w:tcW w:w="80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(472)</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r>
      <w:tr>
        <w:trPr>
          <w:trHeight w:val="157"/>
        </w:trPr>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236"/>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2,849</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1,971</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1,726</w:t>
            </w:r>
          </w:p>
        </w:tc>
        <w:tc>
          <w:tcPr>
            <w:tcW w:w="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r>
      <w:tr>
        <w:trPr>
          <w:trHeight w:val="944"/>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57"/>
        </w:trPr>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236"/>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w:t>
            </w:r>
          </w:p>
        </w:tc>
        <w:tc>
          <w:tcPr>
            <w:tcW w:w="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17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1,697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1,314</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r>
      <w:tr>
        <w:trPr>
          <w:trHeight w:val="351"/>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351"/>
        </w:trPr>
        <w:tc>
          <w:tcPr>
            <w:tcW w:w="80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70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r>
      <w:tr>
        <w:trPr>
          <w:trHeight w:val="157"/>
        </w:trPr>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212"/>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2,679</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1,793</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2,007</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2">
            <w:col w:w="7380" w:space="80"/>
            <w:col w:w="3780"/>
          </w:cols>
          <w:pgMar w:left="320" w:top="1143" w:right="3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r>
      <w:tr>
        <w:trPr>
          <w:trHeight w:val="195"/>
        </w:trPr>
        <w:tc>
          <w:tcPr>
            <w:tcW w:w="3120" w:type="dxa"/>
            <w:vAlign w:val="bottom"/>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1st Qtr</w:t>
            </w: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2nd Qtr</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3rd Qtr</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4th Qtr</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1st Qtr</w:t>
            </w: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2nd Qtr</w:t>
            </w: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3rd Qtr    4th Qtr</w:t>
            </w:r>
          </w:p>
        </w:tc>
        <w:tc>
          <w:tcPr>
            <w:tcW w:w="8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YTD</w:t>
            </w: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0000FF"/>
              </w:rPr>
              <w:t>ADJUSTED EFFECTIVE INCOME TAX RATES</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413"/>
        </w:trPr>
        <w:tc>
          <w:tcPr>
            <w:tcW w:w="3120" w:type="dxa"/>
            <w:vAlign w:val="bottom"/>
          </w:tcPr>
          <w:p>
            <w:pPr>
              <w:ind w:left="20"/>
              <w:spacing w:after="0"/>
              <w:rPr>
                <w:sz w:val="20"/>
                <w:szCs w:val="20"/>
                <w:color w:val="auto"/>
              </w:rPr>
            </w:pPr>
            <w:r>
              <w:rPr>
                <w:rFonts w:ascii="Arial" w:cs="Arial" w:eastAsia="Arial" w:hAnsi="Arial"/>
                <w:sz w:val="14"/>
                <w:szCs w:val="14"/>
                <w:color w:val="auto"/>
              </w:rPr>
              <w:t>Alaska</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26.1 %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27.4 %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27.6 %</w:t>
            </w:r>
          </w:p>
        </w:tc>
        <w:tc>
          <w:tcPr>
            <w:tcW w:w="740" w:type="dxa"/>
            <w:vAlign w:val="bottom"/>
          </w:tcPr>
          <w:p>
            <w:pPr>
              <w:jc w:val="right"/>
              <w:spacing w:after="0"/>
              <w:rPr>
                <w:sz w:val="20"/>
                <w:szCs w:val="20"/>
                <w:color w:val="auto"/>
              </w:rPr>
            </w:pPr>
            <w:r>
              <w:rPr>
                <w:rFonts w:ascii="Arial" w:cs="Arial" w:eastAsia="Arial" w:hAnsi="Arial"/>
                <w:sz w:val="14"/>
                <w:szCs w:val="14"/>
                <w:color w:val="auto"/>
              </w:rPr>
              <w:t>25.4 %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30.8 %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26.0 %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30.7 %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Lower 48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21.7 %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22.6 %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21.9 %</w:t>
            </w:r>
          </w:p>
        </w:tc>
        <w:tc>
          <w:tcPr>
            <w:tcW w:w="740" w:type="dxa"/>
            <w:vAlign w:val="bottom"/>
          </w:tcPr>
          <w:p>
            <w:pPr>
              <w:jc w:val="right"/>
              <w:spacing w:after="0"/>
              <w:rPr>
                <w:sz w:val="20"/>
                <w:szCs w:val="20"/>
                <w:color w:val="auto"/>
              </w:rPr>
            </w:pPr>
            <w:r>
              <w:rPr>
                <w:rFonts w:ascii="Arial" w:cs="Arial" w:eastAsia="Arial" w:hAnsi="Arial"/>
                <w:sz w:val="14"/>
                <w:szCs w:val="14"/>
                <w:color w:val="auto"/>
              </w:rPr>
              <w:t>21.9 %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22.5 %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21.1 %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21.9 %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Canada</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23.6 %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24.6 %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30.9 %</w:t>
            </w:r>
          </w:p>
        </w:tc>
        <w:tc>
          <w:tcPr>
            <w:tcW w:w="740" w:type="dxa"/>
            <w:vAlign w:val="bottom"/>
          </w:tcPr>
          <w:p>
            <w:pPr>
              <w:jc w:val="right"/>
              <w:spacing w:after="0"/>
              <w:rPr>
                <w:sz w:val="20"/>
                <w:szCs w:val="20"/>
                <w:color w:val="auto"/>
              </w:rPr>
            </w:pPr>
            <w:r>
              <w:rPr>
                <w:rFonts w:ascii="Arial" w:cs="Arial" w:eastAsia="Arial" w:hAnsi="Arial"/>
                <w:sz w:val="14"/>
                <w:szCs w:val="14"/>
                <w:color w:val="auto"/>
              </w:rPr>
              <w:t>23.5 %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24.1 %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25.2 %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24.1 %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71.9 %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72.5 %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69.5 %</w:t>
            </w:r>
          </w:p>
        </w:tc>
        <w:tc>
          <w:tcPr>
            <w:tcW w:w="740" w:type="dxa"/>
            <w:vAlign w:val="bottom"/>
          </w:tcPr>
          <w:p>
            <w:pPr>
              <w:jc w:val="right"/>
              <w:spacing w:after="0"/>
              <w:rPr>
                <w:sz w:val="20"/>
                <w:szCs w:val="20"/>
                <w:color w:val="auto"/>
              </w:rPr>
            </w:pPr>
            <w:r>
              <w:rPr>
                <w:rFonts w:ascii="Arial" w:cs="Arial" w:eastAsia="Arial" w:hAnsi="Arial"/>
                <w:sz w:val="14"/>
                <w:szCs w:val="14"/>
                <w:color w:val="auto"/>
              </w:rPr>
              <w:t>68.6 %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68.8 %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71.4 %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67.3 %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15.6 %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17.8 %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13.7 %</w:t>
            </w:r>
          </w:p>
        </w:tc>
        <w:tc>
          <w:tcPr>
            <w:tcW w:w="740" w:type="dxa"/>
            <w:vAlign w:val="bottom"/>
          </w:tcPr>
          <w:p>
            <w:pPr>
              <w:jc w:val="right"/>
              <w:spacing w:after="0"/>
              <w:rPr>
                <w:sz w:val="20"/>
                <w:szCs w:val="20"/>
                <w:color w:val="auto"/>
              </w:rPr>
            </w:pPr>
            <w:r>
              <w:rPr>
                <w:rFonts w:ascii="Arial" w:cs="Arial" w:eastAsia="Arial" w:hAnsi="Arial"/>
                <w:sz w:val="14"/>
                <w:szCs w:val="14"/>
                <w:color w:val="auto"/>
              </w:rPr>
              <w:t>10.7 %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17.1 %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16.8 %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22.5 %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Other International</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7.7 %</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3.4 %</w:t>
            </w:r>
          </w:p>
        </w:tc>
        <w:tc>
          <w:tcPr>
            <w:tcW w:w="740" w:type="dxa"/>
            <w:vAlign w:val="bottom"/>
          </w:tcPr>
          <w:p>
            <w:pPr>
              <w:jc w:val="right"/>
              <w:spacing w:after="0"/>
              <w:rPr>
                <w:sz w:val="20"/>
                <w:szCs w:val="20"/>
                <w:color w:val="auto"/>
              </w:rPr>
            </w:pPr>
            <w:r>
              <w:rPr>
                <w:rFonts w:ascii="Arial" w:cs="Arial" w:eastAsia="Arial" w:hAnsi="Arial"/>
                <w:sz w:val="14"/>
                <w:szCs w:val="14"/>
                <w:color w:val="auto"/>
              </w:rPr>
              <w:t>18.0 %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0.6 %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29.7 %</w:t>
            </w:r>
          </w:p>
        </w:tc>
        <w:tc>
          <w:tcPr>
            <w:tcW w:w="142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r>
      <w:tr>
        <w:trPr>
          <w:trHeight w:val="351"/>
        </w:trPr>
        <w:tc>
          <w:tcPr>
            <w:tcW w:w="312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33.8 %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12.3 %</w:t>
            </w:r>
          </w:p>
        </w:tc>
        <w:tc>
          <w:tcPr>
            <w:tcW w:w="740" w:type="dxa"/>
            <w:vAlign w:val="bottom"/>
          </w:tcPr>
          <w:p>
            <w:pPr>
              <w:jc w:val="right"/>
              <w:spacing w:after="0"/>
              <w:rPr>
                <w:sz w:val="20"/>
                <w:szCs w:val="20"/>
                <w:color w:val="auto"/>
              </w:rPr>
            </w:pPr>
            <w:r>
              <w:rPr>
                <w:rFonts w:ascii="Arial" w:cs="Arial" w:eastAsia="Arial" w:hAnsi="Arial"/>
                <w:sz w:val="14"/>
                <w:szCs w:val="14"/>
                <w:color w:val="auto"/>
              </w:rPr>
              <w:t>33.6 %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13.3 %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25.3 %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(4.6)%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r>
      <w:tr>
        <w:trPr>
          <w:trHeight w:val="157"/>
        </w:trPr>
        <w:tc>
          <w:tcPr>
            <w:tcW w:w="3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35.3 %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36.3 %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36.2 %</w:t>
            </w:r>
          </w:p>
        </w:tc>
        <w:tc>
          <w:tcPr>
            <w:tcW w:w="740" w:type="dxa"/>
            <w:vAlign w:val="bottom"/>
          </w:tcPr>
          <w:p>
            <w:pPr>
              <w:jc w:val="right"/>
              <w:spacing w:after="0"/>
              <w:rPr>
                <w:sz w:val="20"/>
                <w:szCs w:val="20"/>
                <w:color w:val="auto"/>
              </w:rPr>
            </w:pPr>
            <w:r>
              <w:rPr>
                <w:rFonts w:ascii="Arial" w:cs="Arial" w:eastAsia="Arial" w:hAnsi="Arial"/>
                <w:sz w:val="14"/>
                <w:szCs w:val="14"/>
                <w:color w:val="auto"/>
              </w:rPr>
              <w:t>34.1 %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35.5 %</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37.9 %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35.6 %</w:t>
            </w:r>
          </w:p>
        </w:tc>
        <w:tc>
          <w:tcPr>
            <w:tcW w:w="1420" w:type="dxa"/>
            <w:vAlign w:val="bottom"/>
          </w:tcPr>
          <w:p>
            <w:pPr>
              <w:jc w:val="right"/>
              <w:ind w:right="628"/>
              <w:spacing w:after="0"/>
              <w:rPr>
                <w:sz w:val="20"/>
                <w:szCs w:val="20"/>
                <w:color w:val="auto"/>
              </w:rPr>
            </w:pPr>
            <w:r>
              <w:rPr>
                <w:rFonts w:ascii="Arial" w:cs="Arial" w:eastAsia="Arial" w:hAnsi="Arial"/>
                <w:sz w:val="14"/>
                <w:szCs w:val="14"/>
                <w:color w:val="auto"/>
              </w:rPr>
              <w:t>39.0 %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37.6 %</w:t>
            </w:r>
          </w:p>
        </w:tc>
      </w:tr>
      <w:tr>
        <w:trPr>
          <w:trHeight w:val="20"/>
        </w:trPr>
        <w:tc>
          <w:tcPr>
            <w:tcW w:w="3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3600" w:type="dxa"/>
        <w:tblCellMar>
          <w:top w:w="0" w:type="dxa"/>
          <w:left w:w="0" w:type="dxa"/>
          <w:bottom w:w="0" w:type="dxa"/>
          <w:right w:w="0" w:type="dxa"/>
        </w:tblCellMar>
      </w:tblPr>
      <w:tr>
        <w:trPr>
          <w:trHeight w:val="197"/>
        </w:trPr>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5"/>
        </w:trPr>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2nd Qtr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3rd Qtr</w:t>
            </w: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Qtr   Full Year</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2nd Qtr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3rd Qtr</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4th Qtr</w:t>
            </w: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-135255</wp:posOffset>
            </wp:positionV>
            <wp:extent cx="4852035" cy="745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52035" cy="7454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 Millions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0FF"/>
        </w:rPr>
        <w:t>DETAILED SPECIAL ITEMS</w:t>
      </w:r>
    </w:p>
    <w:p>
      <w:pPr>
        <w:sectPr>
          <w:pgSz w:w="11900" w:h="16838" w:orient="portrait"/>
          <w:cols w:equalWidth="0" w:num="1">
            <w:col w:w="11240"/>
          </w:cols>
          <w:pgMar w:left="320" w:top="1143" w:right="339" w:bottom="144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Alaska</w:t>
            </w: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ind w:left="3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206"/>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Pending claims and settlements</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720" w:type="dxa"/>
            <w:vAlign w:val="bottom"/>
          </w:tcPr>
          <w:p>
            <w:pPr>
              <w:ind w:left="140"/>
              <w:spacing w:after="0"/>
              <w:rPr>
                <w:sz w:val="20"/>
                <w:szCs w:val="20"/>
                <w:color w:val="auto"/>
              </w:rPr>
            </w:pPr>
            <w:r>
              <w:rPr>
                <w:rFonts w:ascii="Arial" w:cs="Arial" w:eastAsia="Arial" w:hAnsi="Arial"/>
                <w:sz w:val="14"/>
                <w:szCs w:val="14"/>
                <w:color w:val="auto"/>
              </w:rPr>
              <w:t>Subtotal before income taxes</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ind w:left="3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r>
      <w:tr>
        <w:trPr>
          <w:trHeight w:val="20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060"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ind w:lef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08"/>
              <w:spacing w:after="0"/>
              <w:rPr>
                <w:sz w:val="20"/>
                <w:szCs w:val="20"/>
                <w:color w:val="auto"/>
              </w:rPr>
            </w:pPr>
            <w:r>
              <w:rPr>
                <w:rFonts w:ascii="Arial" w:cs="Arial" w:eastAsia="Arial" w:hAnsi="Arial"/>
                <w:sz w:val="14"/>
                <w:szCs w:val="14"/>
                <w:color w:val="auto"/>
              </w:rPr>
              <w:t>(34)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7"/>
                <w:szCs w:val="17"/>
                <w:color w:val="auto"/>
              </w:rPr>
            </w:pPr>
          </w:p>
        </w:tc>
      </w:tr>
      <w:tr>
        <w:trPr>
          <w:trHeight w:val="198"/>
        </w:trPr>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77</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1000" w:type="dxa"/>
            <w:vAlign w:val="bottom"/>
          </w:tcPr>
          <w:p>
            <w:pPr>
              <w:jc w:val="right"/>
              <w:ind w:right="248"/>
              <w:spacing w:after="0"/>
              <w:rPr>
                <w:sz w:val="20"/>
                <w:szCs w:val="20"/>
                <w:color w:val="auto"/>
              </w:rPr>
            </w:pPr>
            <w:r>
              <w:rPr>
                <w:rFonts w:ascii="Arial" w:cs="Arial" w:eastAsia="Arial" w:hAnsi="Arial"/>
                <w:sz w:val="14"/>
                <w:szCs w:val="14"/>
                <w:color w:val="auto"/>
              </w:rPr>
              <w:t>77</w:t>
            </w:r>
          </w:p>
        </w:tc>
        <w:tc>
          <w:tcPr>
            <w:tcW w:w="720" w:type="dxa"/>
            <w:vAlign w:val="bottom"/>
          </w:tcPr>
          <w:p>
            <w:pPr>
              <w:ind w:lef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08"/>
              <w:spacing w:after="0"/>
              <w:rPr>
                <w:sz w:val="20"/>
                <w:szCs w:val="20"/>
                <w:color w:val="auto"/>
              </w:rPr>
            </w:pPr>
            <w:r>
              <w:rPr>
                <w:rFonts w:ascii="Arial" w:cs="Arial" w:eastAsia="Arial" w:hAnsi="Arial"/>
                <w:sz w:val="14"/>
                <w:szCs w:val="14"/>
                <w:color w:val="auto"/>
              </w:rPr>
              <w:t>(34)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 w:type="dxa"/>
            <w:vAlign w:val="bottom"/>
            <w:shd w:val="clear" w:color="auto" w:fill="CCEEFF"/>
          </w:tcPr>
          <w:p>
            <w:pPr>
              <w:spacing w:after="0"/>
              <w:rPr>
                <w:sz w:val="16"/>
                <w:szCs w:val="16"/>
                <w:color w:val="auto"/>
              </w:rPr>
            </w:pPr>
          </w:p>
        </w:tc>
      </w:tr>
      <w:tr>
        <w:trPr>
          <w:trHeight w:val="207"/>
        </w:trPr>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19</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58</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0060" cy="3511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Lower 48</w:t>
            </w: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ind w:left="300"/>
              <w:spacing w:after="0"/>
              <w:rPr>
                <w:sz w:val="20"/>
                <w:szCs w:val="20"/>
                <w:color w:val="auto"/>
              </w:rPr>
            </w:pPr>
            <w:r>
              <w:rPr>
                <w:rFonts w:ascii="Arial" w:cs="Arial" w:eastAsia="Arial" w:hAnsi="Arial"/>
                <w:sz w:val="14"/>
                <w:szCs w:val="14"/>
                <w:color w:val="auto"/>
              </w:rPr>
              <w:t>—</w:t>
            </w:r>
          </w:p>
        </w:tc>
        <w:tc>
          <w:tcPr>
            <w:tcW w:w="540" w:type="dxa"/>
            <w:vAlign w:val="bottom"/>
          </w:tcPr>
          <w:p>
            <w:pPr>
              <w:jc w:val="center"/>
              <w:ind w:left="168"/>
              <w:spacing w:after="0"/>
              <w:rPr>
                <w:sz w:val="20"/>
                <w:szCs w:val="20"/>
                <w:color w:val="auto"/>
              </w:rPr>
            </w:pPr>
            <w:r>
              <w:rPr>
                <w:rFonts w:ascii="Arial" w:cs="Arial" w:eastAsia="Arial" w:hAnsi="Arial"/>
                <w:sz w:val="14"/>
                <w:szCs w:val="14"/>
                <w:color w:val="auto"/>
              </w:rPr>
              <w:t>(43)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7"/>
                <w:szCs w:val="17"/>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4"/>
                <w:szCs w:val="14"/>
                <w:color w:val="auto"/>
              </w:rPr>
              <w:t>Impairments</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ind w:left="300"/>
              <w:spacing w:after="0"/>
              <w:rPr>
                <w:sz w:val="20"/>
                <w:szCs w:val="20"/>
                <w:color w:val="auto"/>
              </w:rPr>
            </w:pPr>
            <w:r>
              <w:rPr>
                <w:rFonts w:ascii="Arial" w:cs="Arial" w:eastAsia="Arial" w:hAnsi="Arial"/>
                <w:sz w:val="14"/>
                <w:szCs w:val="14"/>
                <w:color w:val="auto"/>
              </w:rPr>
              <w:t>—</w:t>
            </w:r>
          </w:p>
        </w:tc>
        <w:tc>
          <w:tcPr>
            <w:tcW w:w="540" w:type="dxa"/>
            <w:vAlign w:val="bottom"/>
          </w:tcPr>
          <w:p>
            <w:pPr>
              <w:jc w:val="center"/>
              <w:ind w:left="168"/>
              <w:spacing w:after="0"/>
              <w:rPr>
                <w:sz w:val="20"/>
                <w:szCs w:val="20"/>
                <w:color w:val="auto"/>
              </w:rPr>
            </w:pPr>
            <w:r>
              <w:rPr>
                <w:rFonts w:ascii="Arial" w:cs="Arial" w:eastAsia="Arial" w:hAnsi="Arial"/>
                <w:sz w:val="14"/>
                <w:szCs w:val="14"/>
                <w:color w:val="auto"/>
              </w:rPr>
              <w:t>(47)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shd w:val="clear" w:color="auto" w:fill="CCEEFF"/>
          </w:tcPr>
          <w:p>
            <w:pPr>
              <w:spacing w:after="0"/>
              <w:rPr>
                <w:sz w:val="17"/>
                <w:szCs w:val="17"/>
                <w:color w:val="auto"/>
              </w:rPr>
            </w:pPr>
          </w:p>
        </w:tc>
      </w:tr>
      <w:tr>
        <w:trPr>
          <w:trHeight w:val="206"/>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Gain (loss) on asset sales</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86</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720" w:type="dxa"/>
            <w:vAlign w:val="bottom"/>
          </w:tcPr>
          <w:p>
            <w:pPr>
              <w:ind w:left="140"/>
              <w:spacing w:after="0"/>
              <w:rPr>
                <w:sz w:val="20"/>
                <w:szCs w:val="20"/>
                <w:color w:val="auto"/>
              </w:rPr>
            </w:pPr>
            <w:r>
              <w:rPr>
                <w:rFonts w:ascii="Arial" w:cs="Arial" w:eastAsia="Arial" w:hAnsi="Arial"/>
                <w:sz w:val="14"/>
                <w:szCs w:val="14"/>
                <w:color w:val="auto"/>
              </w:rPr>
              <w:t>Subtotal before income taxes</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86</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ind w:left="300"/>
              <w:spacing w:after="0"/>
              <w:rPr>
                <w:sz w:val="20"/>
                <w:szCs w:val="20"/>
                <w:color w:val="auto"/>
              </w:rPr>
            </w:pPr>
            <w:r>
              <w:rPr>
                <w:rFonts w:ascii="Arial" w:cs="Arial" w:eastAsia="Arial" w:hAnsi="Arial"/>
                <w:sz w:val="14"/>
                <w:szCs w:val="14"/>
                <w:color w:val="auto"/>
              </w:rPr>
              <w:t>—</w:t>
            </w:r>
          </w:p>
        </w:tc>
        <w:tc>
          <w:tcPr>
            <w:tcW w:w="540" w:type="dxa"/>
            <w:vAlign w:val="bottom"/>
          </w:tcPr>
          <w:p>
            <w:pPr>
              <w:jc w:val="center"/>
              <w:ind w:left="168"/>
              <w:spacing w:after="0"/>
              <w:rPr>
                <w:sz w:val="20"/>
                <w:szCs w:val="20"/>
                <w:color w:val="auto"/>
              </w:rPr>
            </w:pPr>
            <w:r>
              <w:rPr>
                <w:rFonts w:ascii="Arial" w:cs="Arial" w:eastAsia="Arial" w:hAnsi="Arial"/>
                <w:sz w:val="14"/>
                <w:szCs w:val="14"/>
                <w:color w:val="auto"/>
              </w:rPr>
              <w:t>(90)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r>
      <w:tr>
        <w:trPr>
          <w:trHeight w:val="20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66</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(70)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060"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(16)</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1320" w:type="dxa"/>
            <w:vAlign w:val="bottom"/>
          </w:tcPr>
          <w:p>
            <w:pPr>
              <w:jc w:val="right"/>
              <w:ind w:right="708"/>
              <w:spacing w:after="0"/>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7"/>
                <w:szCs w:val="17"/>
                <w:color w:val="auto"/>
              </w:rPr>
            </w:pPr>
          </w:p>
        </w:tc>
      </w:tr>
      <w:tr>
        <w:trPr>
          <w:trHeight w:val="195"/>
        </w:trPr>
        <w:tc>
          <w:tcPr>
            <w:tcW w:w="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r>
      <w:tr>
        <w:trPr>
          <w:trHeight w:val="206"/>
        </w:trPr>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64</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274</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960" w:type="dxa"/>
            <w:vAlign w:val="bottom"/>
          </w:tcPr>
          <w:p>
            <w:pPr>
              <w:jc w:val="right"/>
              <w:ind w:right="208"/>
              <w:spacing w:after="0"/>
              <w:rPr>
                <w:sz w:val="20"/>
                <w:szCs w:val="20"/>
                <w:color w:val="auto"/>
              </w:rPr>
            </w:pPr>
            <w:r>
              <w:rPr>
                <w:rFonts w:ascii="Arial" w:cs="Arial" w:eastAsia="Arial" w:hAnsi="Arial"/>
                <w:sz w:val="14"/>
                <w:szCs w:val="14"/>
                <w:color w:val="auto"/>
              </w:rPr>
              <w:t>48</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270</w:t>
            </w:r>
          </w:p>
        </w:tc>
        <w:tc>
          <w:tcPr>
            <w:tcW w:w="1320" w:type="dxa"/>
            <w:vAlign w:val="bottom"/>
          </w:tcPr>
          <w:p>
            <w:pPr>
              <w:jc w:val="right"/>
              <w:ind w:right="708"/>
              <w:spacing w:after="0"/>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0" w:type="dxa"/>
            <w:vAlign w:val="bottom"/>
            <w:shd w:val="clear" w:color="auto" w:fill="CCEEFF"/>
          </w:tcPr>
          <w:p>
            <w:pPr>
              <w:spacing w:after="0"/>
              <w:rPr>
                <w:sz w:val="16"/>
                <w:szCs w:val="16"/>
                <w:color w:val="auto"/>
              </w:rPr>
            </w:pPr>
          </w:p>
        </w:tc>
      </w:tr>
      <w:tr>
        <w:trPr>
          <w:trHeight w:val="207"/>
        </w:trPr>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(45)</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w:t>
            </w:r>
          </w:p>
        </w:tc>
        <w:tc>
          <w:tcPr>
            <w:tcW w:w="13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207</w:t>
            </w:r>
          </w:p>
        </w:tc>
        <w:tc>
          <w:tcPr>
            <w:tcW w:w="13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(74)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351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0060" cy="3511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Canada</w:t>
            </w: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ind w:left="3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20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ind w:left="5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08"/>
              <w:spacing w:after="0"/>
              <w:rPr>
                <w:sz w:val="20"/>
                <w:szCs w:val="20"/>
                <w:color w:val="auto"/>
              </w:rPr>
            </w:pPr>
            <w:r>
              <w:rPr>
                <w:rFonts w:ascii="Arial" w:cs="Arial" w:eastAsia="Arial" w:hAnsi="Arial"/>
                <w:sz w:val="14"/>
                <w:szCs w:val="14"/>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7"/>
                <w:szCs w:val="17"/>
                <w:color w:val="auto"/>
              </w:rPr>
            </w:pPr>
          </w:p>
        </w:tc>
      </w:tr>
      <w:tr>
        <w:trPr>
          <w:trHeight w:val="198"/>
        </w:trPr>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(18)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Europe, Middle East and North Africa</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ind w:left="3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0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16"/>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8"/>
        </w:trPr>
        <w:tc>
          <w:tcPr>
            <w:tcW w:w="100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708"/>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Asia Pacific</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4"/>
        </w:trPr>
        <w:tc>
          <w:tcPr>
            <w:tcW w:w="3680" w:type="dxa"/>
            <w:vAlign w:val="bottom"/>
            <w:tcBorders>
              <w:bottom w:val="single" w:sz="8" w:color="auto"/>
            </w:tcBorders>
          </w:tcPr>
          <w:p>
            <w:pPr>
              <w:ind w:left="20"/>
              <w:spacing w:after="0" w:line="205" w:lineRule="exact"/>
              <w:rPr>
                <w:sz w:val="20"/>
                <w:szCs w:val="20"/>
                <w:color w:val="auto"/>
              </w:rPr>
            </w:pPr>
            <w:r>
              <w:rPr>
                <w:rFonts w:ascii="Arial" w:cs="Arial" w:eastAsia="Arial" w:hAnsi="Arial"/>
                <w:sz w:val="14"/>
                <w:szCs w:val="14"/>
                <w:color w:val="auto"/>
              </w:rPr>
              <w:t>Income tax provision (benefit)</w:t>
            </w:r>
            <w:r>
              <w:rPr>
                <w:rFonts w:ascii="Arial" w:cs="Arial" w:eastAsia="Arial" w:hAnsi="Arial"/>
                <w:sz w:val="18"/>
                <w:szCs w:val="18"/>
                <w:color w:val="auto"/>
                <w:vertAlign w:val="superscript"/>
              </w:rPr>
              <w:t>1</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(76)</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37"/>
        </w:trPr>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76</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316"/>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International</w:t>
            </w: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r>
      <w:tr>
        <w:trPr>
          <w:trHeight w:val="238"/>
        </w:trPr>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316"/>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680" w:type="dxa"/>
            <w:vAlign w:val="bottom"/>
          </w:tcPr>
          <w:p>
            <w:pPr>
              <w:ind w:left="20"/>
              <w:spacing w:after="0"/>
              <w:rPr>
                <w:sz w:val="20"/>
                <w:szCs w:val="20"/>
                <w:color w:val="auto"/>
              </w:rPr>
            </w:pPr>
            <w:r>
              <w:rPr>
                <w:rFonts w:ascii="Arial" w:cs="Arial" w:eastAsia="Arial" w:hAnsi="Arial"/>
                <w:sz w:val="14"/>
                <w:szCs w:val="14"/>
                <w:color w:val="auto"/>
              </w:rPr>
              <w:t>Pending claims and settlements</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ind w:left="2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03"/>
        </w:trPr>
        <w:tc>
          <w:tcPr>
            <w:tcW w:w="368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ind w:left="2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(28)</w:t>
            </w:r>
          </w:p>
        </w:tc>
        <w:tc>
          <w:tcPr>
            <w:tcW w:w="560" w:type="dxa"/>
            <w:vAlign w:val="bottom"/>
          </w:tcPr>
          <w:p>
            <w:pPr>
              <w:jc w:val="right"/>
              <w:spacing w:after="0"/>
              <w:rPr>
                <w:sz w:val="20"/>
                <w:szCs w:val="20"/>
                <w:color w:val="auto"/>
              </w:rPr>
            </w:pPr>
            <w:r>
              <w:rPr>
                <w:rFonts w:ascii="Arial" w:cs="Arial" w:eastAsia="Arial" w:hAnsi="Arial"/>
                <w:sz w:val="14"/>
                <w:szCs w:val="14"/>
                <w:color w:val="auto"/>
              </w:rPr>
              <w:t>(471)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202"/>
        </w:trPr>
        <w:tc>
          <w:tcPr>
            <w:tcW w:w="3680" w:type="dxa"/>
            <w:vAlign w:val="bottom"/>
          </w:tcPr>
          <w:p>
            <w:pPr>
              <w:ind w:left="20"/>
              <w:spacing w:after="0"/>
              <w:rPr>
                <w:sz w:val="20"/>
                <w:szCs w:val="20"/>
                <w:color w:val="auto"/>
              </w:rPr>
            </w:pPr>
            <w:r>
              <w:rPr>
                <w:rFonts w:ascii="Arial" w:cs="Arial" w:eastAsia="Arial" w:hAnsi="Arial"/>
                <w:sz w:val="14"/>
                <w:szCs w:val="14"/>
                <w:color w:val="auto"/>
              </w:rPr>
              <w:t>Other corporate charges</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ind w:left="2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3680" w:type="dxa"/>
            <w:vAlign w:val="bottom"/>
          </w:tcPr>
          <w:p>
            <w:pPr>
              <w:ind w:left="20"/>
              <w:spacing w:after="0"/>
              <w:rPr>
                <w:sz w:val="20"/>
                <w:szCs w:val="20"/>
                <w:color w:val="auto"/>
              </w:rPr>
            </w:pPr>
            <w:r>
              <w:rPr>
                <w:rFonts w:ascii="Arial" w:cs="Arial" w:eastAsia="Arial" w:hAnsi="Arial"/>
                <w:sz w:val="14"/>
                <w:szCs w:val="14"/>
                <w:color w:val="auto"/>
              </w:rPr>
              <w:t>Gain (loss) on interest rate hedge</w:t>
            </w:r>
            <w:r>
              <w:rPr>
                <w:rFonts w:ascii="Arial" w:cs="Arial" w:eastAsia="Arial" w:hAnsi="Arial"/>
                <w:sz w:val="18"/>
                <w:szCs w:val="18"/>
                <w:color w:val="auto"/>
                <w:vertAlign w:val="superscript"/>
              </w:rPr>
              <w:t>2</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ind w:left="2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9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Gain (loss) on debt extinguishment</w:t>
            </w: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92"/>
        </w:trPr>
        <w:tc>
          <w:tcPr>
            <w:tcW w:w="3680" w:type="dxa"/>
            <w:vAlign w:val="bottom"/>
          </w:tcPr>
          <w:p>
            <w:pPr>
              <w:ind w:left="140"/>
              <w:spacing w:after="0"/>
              <w:rPr>
                <w:sz w:val="20"/>
                <w:szCs w:val="20"/>
                <w:color w:val="auto"/>
              </w:rPr>
            </w:pPr>
            <w:r>
              <w:rPr>
                <w:rFonts w:ascii="Arial" w:cs="Arial" w:eastAsia="Arial" w:hAnsi="Arial"/>
                <w:sz w:val="14"/>
                <w:szCs w:val="14"/>
                <w:color w:val="auto"/>
              </w:rPr>
              <w:t>Subtotal before income taxes</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ind w:left="2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(28)</w:t>
            </w:r>
          </w:p>
        </w:tc>
        <w:tc>
          <w:tcPr>
            <w:tcW w:w="560" w:type="dxa"/>
            <w:vAlign w:val="bottom"/>
          </w:tcPr>
          <w:p>
            <w:pPr>
              <w:jc w:val="right"/>
              <w:spacing w:after="0"/>
              <w:rPr>
                <w:sz w:val="20"/>
                <w:szCs w:val="20"/>
                <w:color w:val="auto"/>
              </w:rPr>
            </w:pPr>
            <w:r>
              <w:rPr>
                <w:rFonts w:ascii="Arial" w:cs="Arial" w:eastAsia="Arial" w:hAnsi="Arial"/>
                <w:sz w:val="14"/>
                <w:szCs w:val="14"/>
                <w:color w:val="auto"/>
              </w:rPr>
              <w:t>(593)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r>
      <w:tr>
        <w:trPr>
          <w:trHeight w:val="21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r>
              <w:rPr>
                <w:rFonts w:ascii="Arial" w:cs="Arial" w:eastAsia="Arial" w:hAnsi="Arial"/>
                <w:sz w:val="18"/>
                <w:szCs w:val="18"/>
                <w:color w:val="auto"/>
                <w:vertAlign w:val="superscript"/>
              </w:rPr>
              <w:t>3</w:t>
            </w: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212"/>
        </w:trPr>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006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03"/>
        </w:trPr>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0"/>
        </w:trPr>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318"/>
        </w:trPr>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r>
      <w:tr>
        <w:trPr>
          <w:trHeight w:val="236"/>
        </w:trPr>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512"/>
        </w:trPr>
        <w:tc>
          <w:tcPr>
            <w:tcW w:w="980" w:type="dxa"/>
            <w:vAlign w:val="bottom"/>
          </w:tcPr>
          <w:p>
            <w:pPr>
              <w:jc w:val="right"/>
              <w:ind w:right="228"/>
              <w:spacing w:after="0"/>
              <w:rPr>
                <w:sz w:val="20"/>
                <w:szCs w:val="20"/>
                <w:color w:val="auto"/>
              </w:rPr>
            </w:pPr>
            <w:r>
              <w:rPr>
                <w:rFonts w:ascii="Arial" w:cs="Arial" w:eastAsia="Arial" w:hAnsi="Arial"/>
                <w:sz w:val="14"/>
                <w:szCs w:val="14"/>
                <w:color w:val="auto"/>
              </w:rPr>
              <w:t>46</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03"/>
        </w:trPr>
        <w:tc>
          <w:tcPr>
            <w:tcW w:w="980" w:type="dxa"/>
            <w:vAlign w:val="bottom"/>
          </w:tcPr>
          <w:p>
            <w:pPr>
              <w:jc w:val="right"/>
              <w:ind w:right="188"/>
              <w:spacing w:after="0"/>
              <w:rPr>
                <w:sz w:val="20"/>
                <w:szCs w:val="20"/>
                <w:color w:val="auto"/>
              </w:rPr>
            </w:pPr>
            <w:r>
              <w:rPr>
                <w:rFonts w:ascii="Arial" w:cs="Arial" w:eastAsia="Arial" w:hAnsi="Arial"/>
                <w:sz w:val="14"/>
                <w:szCs w:val="14"/>
                <w:color w:val="auto"/>
              </w:rPr>
              <w:t>(37)</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(54)</w:t>
            </w:r>
          </w:p>
        </w:tc>
        <w:tc>
          <w:tcPr>
            <w:tcW w:w="1320" w:type="dxa"/>
            <w:vAlign w:val="bottom"/>
          </w:tcPr>
          <w:p>
            <w:pPr>
              <w:jc w:val="right"/>
              <w:ind w:right="708"/>
              <w:spacing w:after="0"/>
              <w:rPr>
                <w:sz w:val="20"/>
                <w:szCs w:val="20"/>
                <w:color w:val="auto"/>
              </w:rPr>
            </w:pPr>
            <w:r>
              <w:rPr>
                <w:rFonts w:ascii="Arial" w:cs="Arial" w:eastAsia="Arial" w:hAnsi="Arial"/>
                <w:sz w:val="14"/>
                <w:szCs w:val="14"/>
                <w:color w:val="auto"/>
              </w:rPr>
              <w:t>(117)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202"/>
        </w:trPr>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08"/>
              <w:spacing w:after="0"/>
              <w:rPr>
                <w:sz w:val="20"/>
                <w:szCs w:val="20"/>
                <w:color w:val="auto"/>
              </w:rPr>
            </w:pPr>
            <w:r>
              <w:rPr>
                <w:rFonts w:ascii="Arial" w:cs="Arial" w:eastAsia="Arial" w:hAnsi="Arial"/>
                <w:sz w:val="14"/>
                <w:szCs w:val="14"/>
                <w:color w:val="auto"/>
              </w:rPr>
              <w:t>(82)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03"/>
        </w:trPr>
        <w:tc>
          <w:tcPr>
            <w:tcW w:w="980" w:type="dxa"/>
            <w:vAlign w:val="bottom"/>
          </w:tcPr>
          <w:p>
            <w:pPr>
              <w:jc w:val="right"/>
              <w:ind w:right="228"/>
              <w:spacing w:after="0"/>
              <w:rPr>
                <w:sz w:val="20"/>
                <w:szCs w:val="20"/>
                <w:color w:val="auto"/>
              </w:rPr>
            </w:pPr>
            <w:r>
              <w:rPr>
                <w:rFonts w:ascii="Arial" w:cs="Arial" w:eastAsia="Arial" w:hAnsi="Arial"/>
                <w:sz w:val="14"/>
                <w:szCs w:val="14"/>
                <w:color w:val="auto"/>
              </w:rPr>
              <w:t>15</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18</w:t>
            </w:r>
          </w:p>
        </w:tc>
        <w:tc>
          <w:tcPr>
            <w:tcW w:w="1320" w:type="dxa"/>
            <w:vAlign w:val="bottom"/>
          </w:tcPr>
          <w:p>
            <w:pPr>
              <w:jc w:val="right"/>
              <w:ind w:right="708"/>
              <w:spacing w:after="0"/>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80" w:type="dxa"/>
            <w:vAlign w:val="bottom"/>
          </w:tcPr>
          <w:p>
            <w:pPr>
              <w:jc w:val="right"/>
              <w:ind w:right="228"/>
              <w:spacing w:after="0"/>
              <w:rPr>
                <w:sz w:val="20"/>
                <w:szCs w:val="20"/>
                <w:color w:val="auto"/>
              </w:rPr>
            </w:pPr>
            <w:r>
              <w:rPr>
                <w:rFonts w:ascii="Arial" w:cs="Arial" w:eastAsia="Arial" w:hAnsi="Arial"/>
                <w:sz w:val="14"/>
                <w:szCs w:val="14"/>
                <w:color w:val="auto"/>
              </w:rPr>
              <w:t>24</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(36)</w:t>
            </w:r>
          </w:p>
        </w:tc>
        <w:tc>
          <w:tcPr>
            <w:tcW w:w="1320" w:type="dxa"/>
            <w:vAlign w:val="bottom"/>
          </w:tcPr>
          <w:p>
            <w:pPr>
              <w:jc w:val="right"/>
              <w:ind w:right="708"/>
              <w:spacing w:after="0"/>
              <w:rPr>
                <w:sz w:val="20"/>
                <w:szCs w:val="20"/>
                <w:color w:val="auto"/>
              </w:rPr>
            </w:pPr>
            <w:r>
              <w:rPr>
                <w:rFonts w:ascii="Arial" w:cs="Arial" w:eastAsia="Arial" w:hAnsi="Arial"/>
                <w:sz w:val="14"/>
                <w:szCs w:val="14"/>
                <w:color w:val="auto"/>
              </w:rPr>
              <w:t>(205)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06"/>
        </w:trPr>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w:t>
            </w:r>
          </w:p>
        </w:tc>
        <w:tc>
          <w:tcPr>
            <w:tcW w:w="13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(43)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16"/>
        </w:trPr>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w:t>
            </w:r>
          </w:p>
        </w:tc>
        <w:tc>
          <w:tcPr>
            <w:tcW w:w="13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(162)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060" cy="22288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Company</w:t>
            </w:r>
          </w:p>
        </w:tc>
        <w:tc>
          <w:tcPr>
            <w:tcW w:w="2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142</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(99)</w:t>
            </w: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170</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178</w:t>
            </w: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(281)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Includes a tax adjustment in 1Q24 related to Malaysia deepwater investment tax incentive.</w:t>
      </w:r>
    </w:p>
    <w:p>
      <w:pPr>
        <w:ind w:left="20"/>
        <w:spacing w:after="0"/>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Interest rate hedging gain (loss) from PALNG Phase 1 Investment.</w:t>
      </w:r>
    </w:p>
    <w:p>
      <w:pPr>
        <w:ind w:left="20" w:right="520"/>
        <w:spacing w:after="0" w:line="217" w:lineRule="auto"/>
        <w:rPr>
          <w:sz w:val="20"/>
          <w:szCs w:val="20"/>
          <w:color w:val="auto"/>
        </w:rPr>
      </w:pPr>
      <w:r>
        <w:rPr>
          <w:rFonts w:ascii="Arial" w:cs="Arial" w:eastAsia="Arial" w:hAnsi="Arial"/>
          <w:sz w:val="18"/>
          <w:szCs w:val="18"/>
          <w:i w:val="1"/>
          <w:iCs w:val="1"/>
          <w:color w:val="auto"/>
          <w:vertAlign w:val="superscript"/>
        </w:rPr>
        <w:t>3</w:t>
      </w:r>
      <w:r>
        <w:rPr>
          <w:rFonts w:ascii="Arial" w:cs="Arial" w:eastAsia="Arial" w:hAnsi="Arial"/>
          <w:sz w:val="14"/>
          <w:szCs w:val="14"/>
          <w:i w:val="1"/>
          <w:iCs w:val="1"/>
          <w:color w:val="auto"/>
        </w:rPr>
        <w:t>Includes a tax adjustment related to the Marathon Oil acquisition and a deferred tax adjustment related to finalization of federal income tax regulations related to foreign currency in 4Q24.</w:t>
      </w:r>
    </w:p>
    <w:p>
      <w:pPr>
        <w:sectPr>
          <w:pgSz w:w="11900" w:h="16838" w:orient="portrait"/>
          <w:cols w:equalWidth="0" w:num="1">
            <w:col w:w="11240"/>
          </w:cols>
          <w:pgMar w:left="320" w:top="1143" w:right="339" w:bottom="1440" w:gutter="0" w:footer="0" w:header="0"/>
          <w:type w:val="continuous"/>
        </w:sectPr>
      </w:pPr>
    </w:p>
    <w:bookmarkStart w:id="15" w:name="page16"/>
    <w:bookmarkEnd w:id="15"/>
    <w:p>
      <w:pPr>
        <w:jc w:val="center"/>
        <w:ind w:left="36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23495</wp:posOffset>
            </wp:positionV>
            <wp:extent cx="2400300" cy="746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0" cy="746125"/>
                    </a:xfrm>
                    <a:prstGeom prst="rect">
                      <a:avLst/>
                    </a:prstGeom>
                    <a:noFill/>
                  </pic:spPr>
                </pic:pic>
              </a:graphicData>
            </a:graphic>
          </wp:anchor>
        </w:drawing>
      </w:r>
    </w:p>
    <w:p>
      <w:pPr>
        <w:spacing w:after="0" w:line="35" w:lineRule="exact"/>
        <w:rPr>
          <w:sz w:val="20"/>
          <w:szCs w:val="20"/>
          <w:color w:val="auto"/>
        </w:rPr>
      </w:pPr>
    </w:p>
    <w:p>
      <w:pPr>
        <w:jc w:val="center"/>
        <w:ind w:left="3740"/>
        <w:spacing w:after="0"/>
        <w:tabs>
          <w:tab w:leader="none" w:pos="260" w:val="left"/>
          <w:tab w:leader="none" w:pos="240" w:val="left"/>
          <w:tab w:leader="none" w:pos="260" w:val="left"/>
          <w:tab w:leader="none" w:pos="200" w:val="left"/>
        </w:tabs>
        <w:rPr>
          <w:sz w:val="20"/>
          <w:szCs w:val="20"/>
          <w:color w:val="auto"/>
        </w:rPr>
      </w:pPr>
      <w:r>
        <w:rPr>
          <w:rFonts w:ascii="Arial" w:cs="Arial" w:eastAsia="Arial" w:hAnsi="Arial"/>
          <w:sz w:val="14"/>
          <w:szCs w:val="14"/>
          <w:b w:val="1"/>
          <w:bCs w:val="1"/>
          <w:color w:val="auto"/>
        </w:rPr>
        <w:t>1st Qtr</w:t>
      </w:r>
      <w:r>
        <w:rPr>
          <w:sz w:val="20"/>
          <w:szCs w:val="20"/>
          <w:color w:val="auto"/>
        </w:rPr>
        <w:tab/>
      </w:r>
      <w:r>
        <w:rPr>
          <w:rFonts w:ascii="Arial" w:cs="Arial" w:eastAsia="Arial" w:hAnsi="Arial"/>
          <w:sz w:val="14"/>
          <w:szCs w:val="14"/>
          <w:b w:val="1"/>
          <w:bCs w:val="1"/>
          <w:color w:val="auto"/>
        </w:rPr>
        <w:t>2nd Qtr</w:t>
      </w:r>
      <w:r>
        <w:rPr>
          <w:sz w:val="20"/>
          <w:szCs w:val="20"/>
          <w:color w:val="auto"/>
        </w:rPr>
        <w:tab/>
      </w:r>
      <w:r>
        <w:rPr>
          <w:rFonts w:ascii="Arial" w:cs="Arial" w:eastAsia="Arial" w:hAnsi="Arial"/>
          <w:sz w:val="14"/>
          <w:szCs w:val="14"/>
          <w:b w:val="1"/>
          <w:bCs w:val="1"/>
          <w:color w:val="auto"/>
        </w:rPr>
        <w:t>3rd Qtr</w:t>
      </w:r>
      <w:r>
        <w:rPr>
          <w:sz w:val="20"/>
          <w:szCs w:val="20"/>
          <w:color w:val="auto"/>
        </w:rPr>
        <w:tab/>
      </w:r>
      <w:r>
        <w:rPr>
          <w:rFonts w:ascii="Arial" w:cs="Arial" w:eastAsia="Arial" w:hAnsi="Arial"/>
          <w:sz w:val="14"/>
          <w:szCs w:val="14"/>
          <w:b w:val="1"/>
          <w:bCs w:val="1"/>
          <w:color w:val="auto"/>
        </w:rPr>
        <w:t>4th Qtr</w:t>
        <w:tab/>
        <w:t>Full Year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400300" cy="746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0" cy="74612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6" w:lineRule="exact"/>
        <w:rPr>
          <w:sz w:val="20"/>
          <w:szCs w:val="20"/>
          <w:color w:val="auto"/>
        </w:rPr>
      </w:pPr>
    </w:p>
    <w:p>
      <w:pPr>
        <w:sectPr>
          <w:pgSz w:w="11900" w:h="16838" w:orient="portrait"/>
          <w:cols w:equalWidth="0" w:num="2">
            <w:col w:w="7300" w:space="160"/>
            <w:col w:w="3780"/>
          </w:cols>
          <w:pgMar w:left="320" w:top="1143" w:right="339" w:bottom="1440" w:gutter="0" w:footer="0" w:header="0"/>
        </w:sectPr>
      </w:pPr>
    </w:p>
    <w:p>
      <w:pPr>
        <w:ind w:left="20"/>
        <w:spacing w:after="0"/>
        <w:rPr>
          <w:sz w:val="20"/>
          <w:szCs w:val="20"/>
          <w:color w:val="auto"/>
        </w:rPr>
      </w:pPr>
      <w:r>
        <w:rPr>
          <w:rFonts w:ascii="Arial" w:cs="Arial" w:eastAsia="Arial" w:hAnsi="Arial"/>
          <w:sz w:val="14"/>
          <w:szCs w:val="14"/>
          <w:color w:val="auto"/>
        </w:rPr>
        <w:t>$ Millions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0FF"/>
        </w:rPr>
        <w:t>CONSOLIDATED BALANCE SHEET</w:t>
      </w:r>
    </w:p>
    <w:p>
      <w:pPr>
        <w:sectPr>
          <w:pgSz w:w="11900" w:h="16838" w:orient="portrait"/>
          <w:cols w:equalWidth="0" w:num="1">
            <w:col w:w="11240"/>
          </w:cols>
          <w:pgMar w:left="320" w:top="1143" w:right="339" w:bottom="1440" w:gutter="0" w:footer="0" w:header="0"/>
          <w:type w:val="continuous"/>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4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5,574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4,294</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5,221</w:t>
            </w:r>
          </w:p>
        </w:tc>
        <w:tc>
          <w:tcPr>
            <w:tcW w:w="700" w:type="dxa"/>
            <w:vAlign w:val="bottom"/>
          </w:tcPr>
          <w:p>
            <w:pPr>
              <w:jc w:val="right"/>
              <w:spacing w:after="0"/>
              <w:rPr>
                <w:sz w:val="20"/>
                <w:szCs w:val="20"/>
                <w:color w:val="auto"/>
              </w:rPr>
            </w:pPr>
            <w:r>
              <w:rPr>
                <w:rFonts w:ascii="Arial" w:cs="Arial" w:eastAsia="Arial" w:hAnsi="Arial"/>
                <w:sz w:val="14"/>
                <w:szCs w:val="14"/>
                <w:color w:val="auto"/>
              </w:rPr>
              <w:t>5,607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Short-term investments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487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1,723</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1,571</w:t>
            </w:r>
          </w:p>
        </w:tc>
        <w:tc>
          <w:tcPr>
            <w:tcW w:w="700" w:type="dxa"/>
            <w:vAlign w:val="bottom"/>
          </w:tcPr>
          <w:p>
            <w:pPr>
              <w:jc w:val="right"/>
              <w:spacing w:after="0"/>
              <w:rPr>
                <w:sz w:val="20"/>
                <w:szCs w:val="20"/>
                <w:color w:val="auto"/>
              </w:rPr>
            </w:pPr>
            <w:r>
              <w:rPr>
                <w:rFonts w:ascii="Arial" w:cs="Arial" w:eastAsia="Arial" w:hAnsi="Arial"/>
                <w:sz w:val="14"/>
                <w:szCs w:val="14"/>
                <w:color w:val="auto"/>
              </w:rPr>
              <w:t>507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Accounts and notes receivable</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5,458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5,307</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4,815</w:t>
            </w:r>
          </w:p>
        </w:tc>
        <w:tc>
          <w:tcPr>
            <w:tcW w:w="700" w:type="dxa"/>
            <w:vAlign w:val="bottom"/>
          </w:tcPr>
          <w:p>
            <w:pPr>
              <w:jc w:val="right"/>
              <w:spacing w:after="0"/>
              <w:rPr>
                <w:sz w:val="20"/>
                <w:szCs w:val="20"/>
                <w:color w:val="auto"/>
              </w:rPr>
            </w:pPr>
            <w:r>
              <w:rPr>
                <w:rFonts w:ascii="Arial" w:cs="Arial" w:eastAsia="Arial" w:hAnsi="Arial"/>
                <w:sz w:val="14"/>
                <w:szCs w:val="14"/>
                <w:color w:val="auto"/>
              </w:rPr>
              <w:t>6,695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1,443</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1,447</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1,496</w:t>
            </w:r>
          </w:p>
        </w:tc>
        <w:tc>
          <w:tcPr>
            <w:tcW w:w="700" w:type="dxa"/>
            <w:vAlign w:val="bottom"/>
          </w:tcPr>
          <w:p>
            <w:pPr>
              <w:jc w:val="right"/>
              <w:spacing w:after="0"/>
              <w:rPr>
                <w:sz w:val="20"/>
                <w:szCs w:val="20"/>
                <w:color w:val="auto"/>
              </w:rPr>
            </w:pPr>
            <w:r>
              <w:rPr>
                <w:rFonts w:ascii="Arial" w:cs="Arial" w:eastAsia="Arial" w:hAnsi="Arial"/>
                <w:sz w:val="14"/>
                <w:szCs w:val="14"/>
                <w:color w:val="auto"/>
              </w:rPr>
              <w:t>1,809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759</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963</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4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13,721</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13,734</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13,984</w:t>
            </w:r>
          </w:p>
        </w:tc>
        <w:tc>
          <w:tcPr>
            <w:tcW w:w="700" w:type="dxa"/>
            <w:vAlign w:val="bottom"/>
          </w:tcPr>
          <w:p>
            <w:pPr>
              <w:jc w:val="right"/>
              <w:spacing w:after="0"/>
              <w:rPr>
                <w:sz w:val="20"/>
                <w:szCs w:val="20"/>
                <w:color w:val="auto"/>
              </w:rPr>
            </w:pPr>
            <w:r>
              <w:rPr>
                <w:rFonts w:ascii="Arial" w:cs="Arial" w:eastAsia="Arial" w:hAnsi="Arial"/>
                <w:sz w:val="14"/>
                <w:szCs w:val="14"/>
                <w:color w:val="auto"/>
              </w:rPr>
              <w:t>15,647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Investments and long-term receivables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9,132</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9,304</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9,192</w:t>
            </w:r>
          </w:p>
        </w:tc>
        <w:tc>
          <w:tcPr>
            <w:tcW w:w="700" w:type="dxa"/>
            <w:vAlign w:val="bottom"/>
          </w:tcPr>
          <w:p>
            <w:pPr>
              <w:jc w:val="right"/>
              <w:spacing w:after="0"/>
              <w:rPr>
                <w:sz w:val="20"/>
                <w:szCs w:val="20"/>
                <w:color w:val="auto"/>
              </w:rPr>
            </w:pPr>
            <w:r>
              <w:rPr>
                <w:rFonts w:ascii="Arial" w:cs="Arial" w:eastAsia="Arial" w:hAnsi="Arial"/>
                <w:sz w:val="14"/>
                <w:szCs w:val="14"/>
                <w:color w:val="auto"/>
              </w:rPr>
              <w:t>9,869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Net properties, plants and equipment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69,907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70,226</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70,725</w:t>
            </w:r>
          </w:p>
        </w:tc>
        <w:tc>
          <w:tcPr>
            <w:tcW w:w="700" w:type="dxa"/>
            <w:vAlign w:val="bottom"/>
          </w:tcPr>
          <w:p>
            <w:pPr>
              <w:jc w:val="right"/>
              <w:spacing w:after="0"/>
              <w:rPr>
                <w:sz w:val="20"/>
                <w:szCs w:val="20"/>
                <w:color w:val="auto"/>
              </w:rPr>
            </w:pPr>
            <w:r>
              <w:rPr>
                <w:rFonts w:ascii="Arial" w:cs="Arial" w:eastAsia="Arial" w:hAnsi="Arial"/>
                <w:sz w:val="14"/>
                <w:szCs w:val="14"/>
                <w:color w:val="auto"/>
              </w:rPr>
              <w:t>94,356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94,356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assets</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2,588</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2,730</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95,348</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95,994</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96,699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122,780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122,780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5,138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5,156</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5,190</w:t>
            </w:r>
          </w:p>
        </w:tc>
        <w:tc>
          <w:tcPr>
            <w:tcW w:w="700" w:type="dxa"/>
            <w:vAlign w:val="bottom"/>
          </w:tcPr>
          <w:p>
            <w:pPr>
              <w:jc w:val="right"/>
              <w:spacing w:after="0"/>
              <w:rPr>
                <w:sz w:val="20"/>
                <w:szCs w:val="20"/>
                <w:color w:val="auto"/>
              </w:rPr>
            </w:pPr>
            <w:r>
              <w:rPr>
                <w:rFonts w:ascii="Arial" w:cs="Arial" w:eastAsia="Arial" w:hAnsi="Arial"/>
                <w:sz w:val="14"/>
                <w:szCs w:val="14"/>
                <w:color w:val="auto"/>
              </w:rPr>
              <w:t>6,044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Short-term debt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1,113</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1,312</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1,314</w:t>
            </w:r>
          </w:p>
        </w:tc>
        <w:tc>
          <w:tcPr>
            <w:tcW w:w="700" w:type="dxa"/>
            <w:vAlign w:val="bottom"/>
          </w:tcPr>
          <w:p>
            <w:pPr>
              <w:jc w:val="right"/>
              <w:spacing w:after="0"/>
              <w:rPr>
                <w:sz w:val="20"/>
                <w:szCs w:val="20"/>
                <w:color w:val="auto"/>
              </w:rPr>
            </w:pPr>
            <w:r>
              <w:rPr>
                <w:rFonts w:ascii="Arial" w:cs="Arial" w:eastAsia="Arial" w:hAnsi="Arial"/>
                <w:sz w:val="14"/>
                <w:szCs w:val="14"/>
                <w:color w:val="auto"/>
              </w:rPr>
              <w:t>1,035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Accrued income and other taxes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2,116</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2,016</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2,473</w:t>
            </w:r>
          </w:p>
        </w:tc>
        <w:tc>
          <w:tcPr>
            <w:tcW w:w="700" w:type="dxa"/>
            <w:vAlign w:val="bottom"/>
          </w:tcPr>
          <w:p>
            <w:pPr>
              <w:jc w:val="right"/>
              <w:spacing w:after="0"/>
              <w:rPr>
                <w:sz w:val="20"/>
                <w:szCs w:val="20"/>
                <w:color w:val="auto"/>
              </w:rPr>
            </w:pPr>
            <w:r>
              <w:rPr>
                <w:rFonts w:ascii="Arial" w:cs="Arial" w:eastAsia="Arial" w:hAnsi="Arial"/>
                <w:sz w:val="14"/>
                <w:szCs w:val="14"/>
                <w:color w:val="auto"/>
              </w:rPr>
              <w:t>2,460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Employee benefit obligations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405</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516</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700" w:type="dxa"/>
            <w:vAlign w:val="bottom"/>
          </w:tcPr>
          <w:p>
            <w:pPr>
              <w:jc w:val="right"/>
              <w:spacing w:after="0"/>
              <w:rPr>
                <w:sz w:val="20"/>
                <w:szCs w:val="20"/>
                <w:color w:val="auto"/>
              </w:rPr>
            </w:pPr>
            <w:r>
              <w:rPr>
                <w:rFonts w:ascii="Arial" w:cs="Arial" w:eastAsia="Arial" w:hAnsi="Arial"/>
                <w:sz w:val="14"/>
                <w:szCs w:val="14"/>
                <w:color w:val="auto"/>
              </w:rPr>
              <w:t>1,087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accruals</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1,391</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1,324</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4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10,163</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10,324</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10,765</w:t>
            </w:r>
          </w:p>
        </w:tc>
        <w:tc>
          <w:tcPr>
            <w:tcW w:w="700" w:type="dxa"/>
            <w:vAlign w:val="bottom"/>
          </w:tcPr>
          <w:p>
            <w:pPr>
              <w:jc w:val="right"/>
              <w:spacing w:after="0"/>
              <w:rPr>
                <w:sz w:val="20"/>
                <w:szCs w:val="20"/>
                <w:color w:val="auto"/>
              </w:rPr>
            </w:pPr>
            <w:r>
              <w:rPr>
                <w:rFonts w:ascii="Arial" w:cs="Arial" w:eastAsia="Arial" w:hAnsi="Arial"/>
                <w:sz w:val="14"/>
                <w:szCs w:val="14"/>
                <w:color w:val="auto"/>
              </w:rPr>
              <w:t>12,124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Long-term debt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17,304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17,040</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16,990</w:t>
            </w:r>
          </w:p>
        </w:tc>
        <w:tc>
          <w:tcPr>
            <w:tcW w:w="700" w:type="dxa"/>
            <w:vAlign w:val="bottom"/>
          </w:tcPr>
          <w:p>
            <w:pPr>
              <w:jc w:val="right"/>
              <w:spacing w:after="0"/>
              <w:rPr>
                <w:sz w:val="20"/>
                <w:szCs w:val="20"/>
                <w:color w:val="auto"/>
              </w:rPr>
            </w:pPr>
            <w:r>
              <w:rPr>
                <w:rFonts w:ascii="Arial" w:cs="Arial" w:eastAsia="Arial" w:hAnsi="Arial"/>
                <w:sz w:val="14"/>
                <w:szCs w:val="14"/>
                <w:color w:val="auto"/>
              </w:rPr>
              <w:t>23,289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4"/>
                <w:szCs w:val="14"/>
                <w:color w:val="auto"/>
              </w:rPr>
              <w:t>Asset retirement obligations and accrued</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7,141</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7,238</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7,337</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8,089</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8,089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00"/>
              <w:spacing w:after="0"/>
              <w:rPr>
                <w:sz w:val="20"/>
                <w:szCs w:val="20"/>
                <w:color w:val="auto"/>
              </w:rPr>
            </w:pPr>
            <w:r>
              <w:rPr>
                <w:rFonts w:ascii="Arial" w:cs="Arial" w:eastAsia="Arial" w:hAnsi="Arial"/>
                <w:sz w:val="14"/>
                <w:szCs w:val="14"/>
                <w:color w:val="auto"/>
              </w:rPr>
              <w:t>environmental costs</w:t>
            </w: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40" w:type="dxa"/>
            <w:vAlign w:val="bottom"/>
          </w:tcPr>
          <w:p>
            <w:pPr>
              <w:ind w:left="100"/>
              <w:spacing w:after="0"/>
              <w:rPr>
                <w:sz w:val="20"/>
                <w:szCs w:val="20"/>
                <w:color w:val="auto"/>
              </w:rPr>
            </w:pPr>
            <w:r>
              <w:rPr>
                <w:rFonts w:ascii="Arial" w:cs="Arial" w:eastAsia="Arial" w:hAnsi="Arial"/>
                <w:sz w:val="14"/>
                <w:szCs w:val="14"/>
                <w:color w:val="auto"/>
              </w:rPr>
              <w:t>Deferred income taxes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8,776</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8,927</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8,986</w:t>
            </w:r>
          </w:p>
        </w:tc>
        <w:tc>
          <w:tcPr>
            <w:tcW w:w="700" w:type="dxa"/>
            <w:vAlign w:val="bottom"/>
          </w:tcPr>
          <w:p>
            <w:pPr>
              <w:jc w:val="right"/>
              <w:spacing w:after="0"/>
              <w:rPr>
                <w:sz w:val="20"/>
                <w:szCs w:val="20"/>
                <w:color w:val="auto"/>
              </w:rPr>
            </w:pPr>
            <w:r>
              <w:rPr>
                <w:rFonts w:ascii="Arial" w:cs="Arial" w:eastAsia="Arial" w:hAnsi="Arial"/>
                <w:sz w:val="14"/>
                <w:szCs w:val="14"/>
                <w:color w:val="auto"/>
              </w:rPr>
              <w:t>11,426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4"/>
                <w:szCs w:val="14"/>
                <w:color w:val="auto"/>
              </w:rPr>
              <w:t>Employee benefit obligations</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967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990</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945</w:t>
            </w:r>
          </w:p>
        </w:tc>
        <w:tc>
          <w:tcPr>
            <w:tcW w:w="700" w:type="dxa"/>
            <w:vAlign w:val="bottom"/>
          </w:tcPr>
          <w:p>
            <w:pPr>
              <w:jc w:val="right"/>
              <w:spacing w:after="0"/>
              <w:rPr>
                <w:sz w:val="20"/>
                <w:szCs w:val="20"/>
                <w:color w:val="auto"/>
              </w:rPr>
            </w:pPr>
            <w:r>
              <w:rPr>
                <w:rFonts w:ascii="Arial" w:cs="Arial" w:eastAsia="Arial" w:hAnsi="Arial"/>
                <w:sz w:val="14"/>
                <w:szCs w:val="14"/>
                <w:color w:val="auto"/>
              </w:rPr>
              <w:t>1,022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liabilities and deferred credits</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1,672</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1,730</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liabilities</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46,023</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46,249</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57,984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57,984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-7620</wp:posOffset>
            </wp:positionV>
            <wp:extent cx="480060" cy="480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6,309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4,901</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5,260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w:t>
            </w:r>
          </w:p>
        </w:tc>
        <w:tc>
          <w:tcPr>
            <w:tcW w:w="20" w:type="dxa"/>
            <w:vAlign w:val="bottom"/>
          </w:tcPr>
          <w:p>
            <w:pPr>
              <w:spacing w:after="0"/>
              <w:rPr>
                <w:sz w:val="17"/>
                <w:szCs w:val="17"/>
                <w:color w:val="auto"/>
              </w:rPr>
            </w:pPr>
          </w:p>
        </w:tc>
      </w:tr>
      <w:tr>
        <w:trPr>
          <w:trHeight w:val="194"/>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926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439</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996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20" w:type="dxa"/>
            <w:vAlign w:val="bottom"/>
            <w:shd w:val="clear" w:color="auto" w:fill="CCEEFF"/>
          </w:tcPr>
          <w:p>
            <w:pPr>
              <w:spacing w:after="0"/>
              <w:rPr>
                <w:sz w:val="16"/>
                <w:szCs w:val="16"/>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6,400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5,701</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5,744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20" w:type="dxa"/>
            <w:vAlign w:val="bottom"/>
            <w:shd w:val="clear" w:color="auto" w:fill="CCEEFF"/>
          </w:tcPr>
          <w:p>
            <w:pPr>
              <w:spacing w:after="0"/>
              <w:rPr>
                <w:sz w:val="17"/>
                <w:szCs w:val="17"/>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1,844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1,721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20" w:type="dxa"/>
            <w:vAlign w:val="bottom"/>
            <w:shd w:val="clear" w:color="auto" w:fill="CCEEFF"/>
          </w:tcPr>
          <w:p>
            <w:pPr>
              <w:spacing w:after="0"/>
              <w:rPr>
                <w:sz w:val="17"/>
                <w:szCs w:val="17"/>
                <w:color w:val="auto"/>
              </w:rPr>
            </w:pPr>
          </w:p>
        </w:tc>
      </w:tr>
      <w:tr>
        <w:trPr>
          <w:trHeight w:val="207"/>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1,427</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1,001</w:t>
            </w: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2,163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16,906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13,939</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15,884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15,884</w:t>
            </w:r>
          </w:p>
        </w:tc>
        <w:tc>
          <w:tcPr>
            <w:tcW w:w="20" w:type="dxa"/>
            <w:vAlign w:val="bottom"/>
            <w:shd w:val="clear" w:color="auto" w:fill="CCEEFF"/>
          </w:tcPr>
          <w:p>
            <w:pPr>
              <w:spacing w:after="0"/>
              <w:rPr>
                <w:sz w:val="16"/>
                <w:szCs w:val="16"/>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10,008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10,361</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10,074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10,074</w:t>
            </w:r>
          </w:p>
        </w:tc>
        <w:tc>
          <w:tcPr>
            <w:tcW w:w="20" w:type="dxa"/>
            <w:vAlign w:val="bottom"/>
            <w:shd w:val="clear" w:color="auto" w:fill="CCEEFF"/>
          </w:tcPr>
          <w:p>
            <w:pPr>
              <w:spacing w:after="0"/>
              <w:rPr>
                <w:sz w:val="17"/>
                <w:szCs w:val="17"/>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94,316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95,242</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93,498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93,498</w:t>
            </w:r>
          </w:p>
        </w:tc>
        <w:tc>
          <w:tcPr>
            <w:tcW w:w="20" w:type="dxa"/>
            <w:vAlign w:val="bottom"/>
            <w:shd w:val="clear" w:color="auto" w:fill="CCEEFF"/>
          </w:tcPr>
          <w:p>
            <w:pPr>
              <w:spacing w:after="0"/>
              <w:rPr>
                <w:sz w:val="17"/>
                <w:szCs w:val="17"/>
                <w:color w:val="auto"/>
              </w:rPr>
            </w:pPr>
          </w:p>
        </w:tc>
      </w:tr>
      <w:tr>
        <w:trPr>
          <w:trHeight w:val="207"/>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3,024</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3,057</w:t>
            </w: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3,016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124,254</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122,599</w:t>
            </w: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122,472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122,472</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7,349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6,517</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6,245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6,245</w:t>
            </w:r>
          </w:p>
        </w:tc>
        <w:tc>
          <w:tcPr>
            <w:tcW w:w="20" w:type="dxa"/>
            <w:vAlign w:val="bottom"/>
            <w:shd w:val="clear" w:color="auto" w:fill="CCEEFF"/>
          </w:tcPr>
          <w:p>
            <w:pPr>
              <w:spacing w:after="0"/>
              <w:rPr>
                <w:sz w:val="24"/>
                <w:szCs w:val="24"/>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608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1,016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20" w:type="dxa"/>
            <w:vAlign w:val="bottom"/>
            <w:shd w:val="clear" w:color="auto" w:fill="CCEEFF"/>
          </w:tcPr>
          <w:p>
            <w:pPr>
              <w:spacing w:after="0"/>
              <w:rPr>
                <w:sz w:val="17"/>
                <w:szCs w:val="17"/>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2,919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1,742</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1,939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20" w:type="dxa"/>
            <w:vAlign w:val="bottom"/>
            <w:shd w:val="clear" w:color="auto" w:fill="CCEEFF"/>
          </w:tcPr>
          <w:p>
            <w:pPr>
              <w:spacing w:after="0"/>
              <w:rPr>
                <w:sz w:val="17"/>
                <w:szCs w:val="17"/>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652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710</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1,020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20" w:type="dxa"/>
            <w:vAlign w:val="bottom"/>
            <w:shd w:val="clear" w:color="auto" w:fill="CCEEFF"/>
          </w:tcPr>
          <w:p>
            <w:pPr>
              <w:spacing w:after="0"/>
              <w:rPr>
                <w:sz w:val="17"/>
                <w:szCs w:val="17"/>
                <w:color w:val="auto"/>
              </w:rPr>
            </w:pPr>
          </w:p>
        </w:tc>
      </w:tr>
      <w:tr>
        <w:trPr>
          <w:trHeight w:val="207"/>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1,801</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1,603</w:t>
            </w: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1,789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13,329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10,986</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12,009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12,009</w:t>
            </w:r>
          </w:p>
        </w:tc>
        <w:tc>
          <w:tcPr>
            <w:tcW w:w="20" w:type="dxa"/>
            <w:vAlign w:val="bottom"/>
            <w:shd w:val="clear" w:color="auto" w:fill="CCEEFF"/>
          </w:tcPr>
          <w:p>
            <w:pPr>
              <w:spacing w:after="0"/>
              <w:rPr>
                <w:sz w:val="16"/>
                <w:szCs w:val="16"/>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23,176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23,115</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22,466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22,466</w:t>
            </w:r>
          </w:p>
        </w:tc>
        <w:tc>
          <w:tcPr>
            <w:tcW w:w="20" w:type="dxa"/>
            <w:vAlign w:val="bottom"/>
            <w:shd w:val="clear" w:color="auto" w:fill="CCEEFF"/>
          </w:tcPr>
          <w:p>
            <w:pPr>
              <w:spacing w:after="0"/>
              <w:rPr>
                <w:sz w:val="17"/>
                <w:szCs w:val="17"/>
                <w:color w:val="auto"/>
              </w:rPr>
            </w:pPr>
          </w:p>
        </w:tc>
      </w:tr>
      <w:tr>
        <w:trPr>
          <w:trHeight w:val="338"/>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8,146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8,225</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8,264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8,264</w:t>
            </w:r>
          </w:p>
        </w:tc>
        <w:tc>
          <w:tcPr>
            <w:tcW w:w="20" w:type="dxa"/>
            <w:vAlign w:val="bottom"/>
            <w:shd w:val="clear" w:color="auto" w:fill="CCEEFF"/>
          </w:tcPr>
          <w:p>
            <w:pPr>
              <w:spacing w:after="0"/>
              <w:rPr>
                <w:sz w:val="24"/>
                <w:szCs w:val="24"/>
                <w:color w:val="auto"/>
              </w:rPr>
            </w:pPr>
          </w:p>
        </w:tc>
      </w:tr>
      <w:tr>
        <w:trPr>
          <w:trHeight w:val="202"/>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11,483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11,766</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12,109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12,109</w:t>
            </w:r>
          </w:p>
        </w:tc>
        <w:tc>
          <w:tcPr>
            <w:tcW w:w="20" w:type="dxa"/>
            <w:vAlign w:val="bottom"/>
            <w:shd w:val="clear" w:color="auto" w:fill="CCEEFF"/>
          </w:tcPr>
          <w:p>
            <w:pPr>
              <w:spacing w:after="0"/>
              <w:rPr>
                <w:sz w:val="17"/>
                <w:szCs w:val="17"/>
                <w:color w:val="auto"/>
              </w:rPr>
            </w:pPr>
          </w:p>
        </w:tc>
      </w:tr>
      <w:tr>
        <w:trPr>
          <w:trHeight w:val="203"/>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950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20" w:type="dxa"/>
            <w:vAlign w:val="bottom"/>
            <w:shd w:val="clear" w:color="auto" w:fill="CCEEFF"/>
          </w:tcPr>
          <w:p>
            <w:pPr>
              <w:spacing w:after="0"/>
              <w:rPr>
                <w:sz w:val="17"/>
                <w:szCs w:val="17"/>
                <w:color w:val="auto"/>
              </w:rPr>
            </w:pPr>
          </w:p>
        </w:tc>
      </w:tr>
      <w:tr>
        <w:trPr>
          <w:trHeight w:val="207"/>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1,883</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1,936</w:t>
            </w: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1,751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59,016</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57,027</w:t>
            </w: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57,549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57,549</w:t>
            </w:r>
          </w:p>
        </w:tc>
        <w:tc>
          <w:tcPr>
            <w:tcW w:w="20" w:type="dxa"/>
            <w:vAlign w:val="bottom"/>
            <w:tcBorders>
              <w:bottom w:val="single" w:sz="8" w:color="auto"/>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-7620</wp:posOffset>
            </wp:positionV>
            <wp:extent cx="480060"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500" w:type="dxa"/>
            <w:vAlign w:val="bottom"/>
          </w:tcPr>
          <w:p>
            <w:pPr>
              <w:ind w:left="100"/>
              <w:spacing w:after="0"/>
              <w:rPr>
                <w:sz w:val="20"/>
                <w:szCs w:val="20"/>
                <w:color w:val="auto"/>
              </w:rPr>
            </w:pPr>
            <w:r>
              <w:rPr>
                <w:rFonts w:ascii="Arial" w:cs="Arial" w:eastAsia="Arial" w:hAnsi="Arial"/>
                <w:sz w:val="14"/>
                <w:szCs w:val="14"/>
                <w:color w:val="auto"/>
              </w:rPr>
              <w:t>Common stock issued</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Arial" w:cs="Arial" w:eastAsia="Arial" w:hAnsi="Arial"/>
                <w:sz w:val="14"/>
                <w:szCs w:val="14"/>
                <w:color w:val="auto"/>
              </w:rPr>
              <w:t>Par value</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23</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440" w:type="dxa"/>
            <w:vAlign w:val="bottom"/>
          </w:tcPr>
          <w:p>
            <w:pPr>
              <w:jc w:val="right"/>
              <w:ind w:right="748"/>
              <w:spacing w:after="0"/>
              <w:rPr>
                <w:sz w:val="20"/>
                <w:szCs w:val="20"/>
                <w:color w:val="auto"/>
              </w:rPr>
            </w:pPr>
            <w:r>
              <w:rPr>
                <w:rFonts w:ascii="Arial" w:cs="Arial" w:eastAsia="Arial" w:hAnsi="Arial"/>
                <w:sz w:val="14"/>
                <w:szCs w:val="14"/>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7"/>
                <w:szCs w:val="17"/>
                <w:color w:val="auto"/>
              </w:rPr>
            </w:pPr>
          </w:p>
        </w:tc>
      </w:tr>
      <w:tr>
        <w:trPr>
          <w:trHeight w:val="203"/>
        </w:trPr>
        <w:tc>
          <w:tcPr>
            <w:tcW w:w="3500" w:type="dxa"/>
            <w:vAlign w:val="bottom"/>
          </w:tcPr>
          <w:p>
            <w:pPr>
              <w:ind w:left="180"/>
              <w:spacing w:after="0"/>
              <w:rPr>
                <w:sz w:val="20"/>
                <w:szCs w:val="20"/>
                <w:color w:val="auto"/>
              </w:rPr>
            </w:pPr>
            <w:r>
              <w:rPr>
                <w:rFonts w:ascii="Arial" w:cs="Arial" w:eastAsia="Arial" w:hAnsi="Arial"/>
                <w:sz w:val="14"/>
                <w:szCs w:val="14"/>
                <w:color w:val="auto"/>
              </w:rPr>
              <w:t>Capital in excess of par</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61,300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61,381</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61,430</w:t>
            </w:r>
          </w:p>
        </w:tc>
        <w:tc>
          <w:tcPr>
            <w:tcW w:w="680" w:type="dxa"/>
            <w:vAlign w:val="bottom"/>
          </w:tcPr>
          <w:p>
            <w:pPr>
              <w:jc w:val="right"/>
              <w:spacing w:after="0"/>
              <w:rPr>
                <w:sz w:val="20"/>
                <w:szCs w:val="20"/>
                <w:color w:val="auto"/>
              </w:rPr>
            </w:pPr>
            <w:r>
              <w:rPr>
                <w:rFonts w:ascii="Arial" w:cs="Arial" w:eastAsia="Arial" w:hAnsi="Arial"/>
                <w:sz w:val="14"/>
                <w:szCs w:val="14"/>
                <w:color w:val="auto"/>
              </w:rPr>
              <w:t>77,529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77,529</w:t>
            </w:r>
          </w:p>
        </w:tc>
        <w:tc>
          <w:tcPr>
            <w:tcW w:w="920" w:type="dxa"/>
            <w:vAlign w:val="bottom"/>
            <w:tcBorders>
              <w:left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77,554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77,643</w:t>
            </w:r>
          </w:p>
        </w:tc>
        <w:tc>
          <w:tcPr>
            <w:tcW w:w="1440" w:type="dxa"/>
            <w:vAlign w:val="bottom"/>
          </w:tcPr>
          <w:p>
            <w:pPr>
              <w:jc w:val="right"/>
              <w:ind w:right="748"/>
              <w:spacing w:after="0"/>
              <w:rPr>
                <w:sz w:val="20"/>
                <w:szCs w:val="20"/>
                <w:color w:val="auto"/>
              </w:rPr>
            </w:pPr>
            <w:r>
              <w:rPr>
                <w:rFonts w:ascii="Arial" w:cs="Arial" w:eastAsia="Arial" w:hAnsi="Arial"/>
                <w:sz w:val="14"/>
                <w:szCs w:val="14"/>
                <w:color w:val="auto"/>
              </w:rPr>
              <w:t>77,701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77,701</w:t>
            </w:r>
          </w:p>
        </w:tc>
        <w:tc>
          <w:tcPr>
            <w:tcW w:w="20" w:type="dxa"/>
            <w:vAlign w:val="bottom"/>
            <w:shd w:val="clear" w:color="auto" w:fill="CCEEFF"/>
          </w:tcPr>
          <w:p>
            <w:pPr>
              <w:spacing w:after="0"/>
              <w:rPr>
                <w:sz w:val="17"/>
                <w:szCs w:val="17"/>
                <w:color w:val="auto"/>
              </w:rPr>
            </w:pPr>
          </w:p>
        </w:tc>
      </w:tr>
      <w:tr>
        <w:trPr>
          <w:trHeight w:val="203"/>
        </w:trPr>
        <w:tc>
          <w:tcPr>
            <w:tcW w:w="3500" w:type="dxa"/>
            <w:vAlign w:val="bottom"/>
          </w:tcPr>
          <w:p>
            <w:pPr>
              <w:ind w:left="100"/>
              <w:spacing w:after="0"/>
              <w:rPr>
                <w:sz w:val="20"/>
                <w:szCs w:val="20"/>
                <w:color w:val="auto"/>
              </w:rPr>
            </w:pPr>
            <w:r>
              <w:rPr>
                <w:rFonts w:ascii="Arial" w:cs="Arial" w:eastAsia="Arial" w:hAnsi="Arial"/>
                <w:sz w:val="14"/>
                <w:szCs w:val="14"/>
                <w:color w:val="auto"/>
              </w:rPr>
              <w:t>Treasury stock</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(66,974)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(68,005)</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(69,184)</w:t>
            </w:r>
          </w:p>
        </w:tc>
        <w:tc>
          <w:tcPr>
            <w:tcW w:w="680" w:type="dxa"/>
            <w:vAlign w:val="bottom"/>
          </w:tcPr>
          <w:p>
            <w:pPr>
              <w:jc w:val="right"/>
              <w:spacing w:after="0"/>
              <w:rPr>
                <w:sz w:val="20"/>
                <w:szCs w:val="20"/>
                <w:color w:val="auto"/>
              </w:rPr>
            </w:pPr>
            <w:r>
              <w:rPr>
                <w:rFonts w:ascii="Arial" w:cs="Arial" w:eastAsia="Arial" w:hAnsi="Arial"/>
                <w:sz w:val="14"/>
                <w:szCs w:val="14"/>
                <w:color w:val="auto"/>
              </w:rPr>
              <w:t>(71,152)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(71,152)</w:t>
            </w:r>
          </w:p>
        </w:tc>
        <w:tc>
          <w:tcPr>
            <w:tcW w:w="920" w:type="dxa"/>
            <w:vAlign w:val="bottom"/>
            <w:tcBorders>
              <w:left w:val="single" w:sz="8" w:color="CCEEFF"/>
            </w:tcBorders>
            <w:gridSpan w:val="2"/>
          </w:tcPr>
          <w:p>
            <w:pPr>
              <w:jc w:val="right"/>
              <w:ind w:right="28"/>
              <w:spacing w:after="0"/>
              <w:rPr>
                <w:sz w:val="20"/>
                <w:szCs w:val="20"/>
                <w:color w:val="auto"/>
              </w:rPr>
            </w:pPr>
            <w:r>
              <w:rPr>
                <w:rFonts w:ascii="Arial" w:cs="Arial" w:eastAsia="Arial" w:hAnsi="Arial"/>
                <w:sz w:val="14"/>
                <w:szCs w:val="14"/>
                <w:color w:val="auto"/>
              </w:rPr>
              <w:t>(72,666)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(73,899)</w:t>
            </w:r>
          </w:p>
        </w:tc>
        <w:tc>
          <w:tcPr>
            <w:tcW w:w="1440" w:type="dxa"/>
            <w:vAlign w:val="bottom"/>
          </w:tcPr>
          <w:p>
            <w:pPr>
              <w:jc w:val="right"/>
              <w:ind w:right="708"/>
              <w:spacing w:after="0"/>
              <w:rPr>
                <w:sz w:val="20"/>
                <w:szCs w:val="20"/>
                <w:color w:val="auto"/>
              </w:rPr>
            </w:pPr>
            <w:r>
              <w:rPr>
                <w:rFonts w:ascii="Arial" w:cs="Arial" w:eastAsia="Arial" w:hAnsi="Arial"/>
                <w:sz w:val="14"/>
                <w:szCs w:val="14"/>
                <w:color w:val="auto"/>
              </w:rPr>
              <w:t>(75,186)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(75,186)</w:t>
            </w:r>
          </w:p>
        </w:tc>
        <w:tc>
          <w:tcPr>
            <w:tcW w:w="20" w:type="dxa"/>
            <w:vAlign w:val="bottom"/>
            <w:shd w:val="clear" w:color="auto" w:fill="CCEEFF"/>
          </w:tcPr>
          <w:p>
            <w:pPr>
              <w:spacing w:after="0"/>
              <w:rPr>
                <w:sz w:val="17"/>
                <w:szCs w:val="17"/>
                <w:color w:val="auto"/>
              </w:rPr>
            </w:pPr>
          </w:p>
        </w:tc>
      </w:tr>
      <w:tr>
        <w:trPr>
          <w:trHeight w:val="202"/>
        </w:trPr>
        <w:tc>
          <w:tcPr>
            <w:tcW w:w="3500" w:type="dxa"/>
            <w:vAlign w:val="bottom"/>
          </w:tcPr>
          <w:p>
            <w:pPr>
              <w:ind w:left="100"/>
              <w:spacing w:after="0"/>
              <w:rPr>
                <w:sz w:val="20"/>
                <w:szCs w:val="20"/>
                <w:color w:val="auto"/>
              </w:rPr>
            </w:pPr>
            <w:r>
              <w:rPr>
                <w:rFonts w:ascii="Arial" w:cs="Arial" w:eastAsia="Arial" w:hAnsi="Arial"/>
                <w:sz w:val="14"/>
                <w:szCs w:val="14"/>
                <w:color w:val="auto"/>
              </w:rPr>
              <w:t>Accumulated other comprehensive income (loss)</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(5,917)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(5,961)</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(5,845)</w:t>
            </w:r>
          </w:p>
        </w:tc>
        <w:tc>
          <w:tcPr>
            <w:tcW w:w="680" w:type="dxa"/>
            <w:vAlign w:val="bottom"/>
          </w:tcPr>
          <w:p>
            <w:pPr>
              <w:jc w:val="right"/>
              <w:spacing w:after="0"/>
              <w:rPr>
                <w:sz w:val="20"/>
                <w:szCs w:val="20"/>
                <w:color w:val="auto"/>
              </w:rPr>
            </w:pPr>
            <w:r>
              <w:rPr>
                <w:rFonts w:ascii="Arial" w:cs="Arial" w:eastAsia="Arial" w:hAnsi="Arial"/>
                <w:sz w:val="14"/>
                <w:szCs w:val="14"/>
                <w:color w:val="auto"/>
              </w:rPr>
              <w:t>(6,473)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(6,473)</w:t>
            </w:r>
          </w:p>
        </w:tc>
        <w:tc>
          <w:tcPr>
            <w:tcW w:w="920" w:type="dxa"/>
            <w:vAlign w:val="bottom"/>
            <w:tcBorders>
              <w:left w:val="single" w:sz="8" w:color="CCEEFF"/>
            </w:tcBorders>
            <w:gridSpan w:val="2"/>
          </w:tcPr>
          <w:p>
            <w:pPr>
              <w:jc w:val="right"/>
              <w:ind w:right="28"/>
              <w:spacing w:after="0"/>
              <w:rPr>
                <w:sz w:val="20"/>
                <w:szCs w:val="20"/>
                <w:color w:val="auto"/>
              </w:rPr>
            </w:pPr>
            <w:r>
              <w:rPr>
                <w:rFonts w:ascii="Arial" w:cs="Arial" w:eastAsia="Arial" w:hAnsi="Arial"/>
                <w:sz w:val="14"/>
                <w:szCs w:val="14"/>
                <w:color w:val="auto"/>
              </w:rPr>
              <w:t>(6,394)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(5,902)</w:t>
            </w:r>
          </w:p>
        </w:tc>
        <w:tc>
          <w:tcPr>
            <w:tcW w:w="1440" w:type="dxa"/>
            <w:vAlign w:val="bottom"/>
          </w:tcPr>
          <w:p>
            <w:pPr>
              <w:jc w:val="right"/>
              <w:ind w:right="708"/>
              <w:spacing w:after="0"/>
              <w:rPr>
                <w:sz w:val="20"/>
                <w:szCs w:val="20"/>
                <w:color w:val="auto"/>
              </w:rPr>
            </w:pPr>
            <w:r>
              <w:rPr>
                <w:rFonts w:ascii="Arial" w:cs="Arial" w:eastAsia="Arial" w:hAnsi="Arial"/>
                <w:sz w:val="14"/>
                <w:szCs w:val="14"/>
                <w:color w:val="auto"/>
              </w:rPr>
              <w:t>(6,074)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20" w:type="dxa"/>
            <w:vAlign w:val="bottom"/>
            <w:shd w:val="clear" w:color="auto" w:fill="CCEEFF"/>
          </w:tcPr>
          <w:p>
            <w:pPr>
              <w:spacing w:after="0"/>
              <w:rPr>
                <w:sz w:val="17"/>
                <w:szCs w:val="17"/>
                <w:color w:val="auto"/>
              </w:rPr>
            </w:pPr>
          </w:p>
        </w:tc>
      </w:tr>
      <w:tr>
        <w:trPr>
          <w:trHeight w:val="207"/>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Retained earnings</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60,895</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62,309</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63,459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64,869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64,869</w:t>
            </w:r>
          </w:p>
        </w:tc>
        <w:tc>
          <w:tcPr>
            <w:tcW w:w="100" w:type="dxa"/>
            <w:vAlign w:val="bottom"/>
            <w:tcBorders>
              <w:left w:val="single" w:sz="8" w:color="CCEEFF"/>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66,721</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67,707</w:t>
            </w:r>
          </w:p>
        </w:tc>
        <w:tc>
          <w:tcPr>
            <w:tcW w:w="14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68,459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68,459</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equity</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49,325</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49,745</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49,881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64,796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64,796</w:t>
            </w:r>
          </w:p>
        </w:tc>
        <w:tc>
          <w:tcPr>
            <w:tcW w:w="100" w:type="dxa"/>
            <w:vAlign w:val="bottom"/>
            <w:tcBorders>
              <w:left w:val="single" w:sz="8" w:color="CCEEFF"/>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65,238</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65,572</w:t>
            </w:r>
          </w:p>
        </w:tc>
        <w:tc>
          <w:tcPr>
            <w:tcW w:w="14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64,923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64,923</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95,348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95,994</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96,699</w:t>
            </w:r>
          </w:p>
        </w:tc>
        <w:tc>
          <w:tcPr>
            <w:tcW w:w="680" w:type="dxa"/>
            <w:vAlign w:val="bottom"/>
          </w:tcPr>
          <w:p>
            <w:pPr>
              <w:jc w:val="right"/>
              <w:spacing w:after="0"/>
              <w:rPr>
                <w:sz w:val="20"/>
                <w:szCs w:val="20"/>
                <w:color w:val="auto"/>
              </w:rPr>
            </w:pPr>
            <w:r>
              <w:rPr>
                <w:rFonts w:ascii="Arial" w:cs="Arial" w:eastAsia="Arial" w:hAnsi="Arial"/>
                <w:sz w:val="14"/>
                <w:szCs w:val="14"/>
                <w:color w:val="auto"/>
              </w:rPr>
              <w:t>122,780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122,780</w:t>
            </w:r>
          </w:p>
        </w:tc>
        <w:tc>
          <w:tcPr>
            <w:tcW w:w="920" w:type="dxa"/>
            <w:vAlign w:val="bottom"/>
            <w:tcBorders>
              <w:left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124,254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122,599</w:t>
            </w:r>
          </w:p>
        </w:tc>
        <w:tc>
          <w:tcPr>
            <w:tcW w:w="1440" w:type="dxa"/>
            <w:vAlign w:val="bottom"/>
          </w:tcPr>
          <w:p>
            <w:pPr>
              <w:jc w:val="right"/>
              <w:ind w:right="748"/>
              <w:spacing w:after="0"/>
              <w:rPr>
                <w:sz w:val="20"/>
                <w:szCs w:val="20"/>
                <w:color w:val="auto"/>
              </w:rPr>
            </w:pPr>
            <w:r>
              <w:rPr>
                <w:rFonts w:ascii="Arial" w:cs="Arial" w:eastAsia="Arial" w:hAnsi="Arial"/>
                <w:sz w:val="14"/>
                <w:szCs w:val="14"/>
                <w:color w:val="auto"/>
              </w:rPr>
              <w:t>122,472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122,472</w:t>
            </w:r>
          </w:p>
        </w:tc>
        <w:tc>
          <w:tcPr>
            <w:tcW w:w="20" w:type="dxa"/>
            <w:vAlign w:val="bottom"/>
            <w:shd w:val="clear" w:color="auto" w:fill="CCEEFF"/>
          </w:tcPr>
          <w:p>
            <w:pPr>
              <w:spacing w:after="0"/>
              <w:rPr>
                <w:sz w:val="18"/>
                <w:szCs w:val="18"/>
                <w:color w:val="auto"/>
              </w:rPr>
            </w:pPr>
          </w:p>
        </w:tc>
      </w:tr>
      <w:tr>
        <w:trPr>
          <w:trHeight w:val="20"/>
        </w:trPr>
        <w:tc>
          <w:tcPr>
            <w:tcW w:w="3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type w:val="continuous"/>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3780" w:type="dxa"/>
            <w:vAlign w:val="bottom"/>
            <w:tcBorders>
              <w:bottom w:val="single" w:sz="8" w:color="auto"/>
            </w:tcBorders>
          </w:tcPr>
          <w:p>
            <w:pPr>
              <w:jc w:val="right"/>
              <w:ind w:right="16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0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4"/>
                <w:szCs w:val="14"/>
                <w:color w:val="auto"/>
              </w:rPr>
              <w:t>$ Millions</w:t>
            </w:r>
          </w:p>
        </w:tc>
        <w:tc>
          <w:tcPr>
            <w:tcW w:w="38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Qtr   2nd Qtr   3rd Qtr    4th Qtr   Full Year</w:t>
            </w:r>
          </w:p>
        </w:tc>
        <w:tc>
          <w:tcPr>
            <w:tcW w:w="3080" w:type="dxa"/>
            <w:vAlign w:val="bottom"/>
          </w:tcPr>
          <w:p>
            <w:pPr>
              <w:jc w:val="right"/>
              <w:ind w:right="128"/>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YTD</w:t>
            </w:r>
          </w:p>
        </w:tc>
      </w:tr>
      <w:tr>
        <w:trPr>
          <w:trHeight w:val="183"/>
        </w:trPr>
        <w:tc>
          <w:tcPr>
            <w:tcW w:w="3580" w:type="dxa"/>
            <w:vAlign w:val="bottom"/>
          </w:tcPr>
          <w:p>
            <w:pPr>
              <w:spacing w:after="0"/>
              <w:rPr>
                <w:sz w:val="20"/>
                <w:szCs w:val="20"/>
                <w:color w:val="auto"/>
              </w:rPr>
            </w:pPr>
            <w:r>
              <w:rPr>
                <w:rFonts w:ascii="Arial" w:cs="Arial" w:eastAsia="Arial" w:hAnsi="Arial"/>
                <w:sz w:val="14"/>
                <w:szCs w:val="14"/>
                <w:b w:val="1"/>
                <w:bCs w:val="1"/>
                <w:color w:val="0000FF"/>
              </w:rPr>
              <w:t>CASH FLOW INFORMATION</w:t>
            </w:r>
          </w:p>
        </w:tc>
        <w:tc>
          <w:tcPr>
            <w:tcW w:w="3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-264160</wp:posOffset>
            </wp:positionV>
            <wp:extent cx="480060" cy="617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0060" cy="61722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-264160</wp:posOffset>
            </wp:positionV>
            <wp:extent cx="480060" cy="617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0060" cy="61722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2,551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2,329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2,059</w:t>
            </w:r>
          </w:p>
        </w:tc>
        <w:tc>
          <w:tcPr>
            <w:tcW w:w="620" w:type="dxa"/>
            <w:vAlign w:val="bottom"/>
          </w:tcPr>
          <w:p>
            <w:pPr>
              <w:jc w:val="right"/>
              <w:spacing w:after="0"/>
              <w:rPr>
                <w:sz w:val="20"/>
                <w:szCs w:val="20"/>
                <w:color w:val="auto"/>
              </w:rPr>
            </w:pPr>
            <w:r>
              <w:rPr>
                <w:rFonts w:ascii="Arial" w:cs="Arial" w:eastAsia="Arial" w:hAnsi="Arial"/>
                <w:sz w:val="14"/>
                <w:szCs w:val="14"/>
                <w:color w:val="auto"/>
              </w:rPr>
              <w:t>2,306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Depreciation, depletion and amortization</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2,211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2,334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2,390</w:t>
            </w:r>
          </w:p>
        </w:tc>
        <w:tc>
          <w:tcPr>
            <w:tcW w:w="620" w:type="dxa"/>
            <w:vAlign w:val="bottom"/>
          </w:tcPr>
          <w:p>
            <w:pPr>
              <w:jc w:val="right"/>
              <w:spacing w:after="0"/>
              <w:rPr>
                <w:sz w:val="20"/>
                <w:szCs w:val="20"/>
                <w:color w:val="auto"/>
              </w:rPr>
            </w:pPr>
            <w:r>
              <w:rPr>
                <w:rFonts w:ascii="Arial" w:cs="Arial" w:eastAsia="Arial" w:hAnsi="Arial"/>
                <w:sz w:val="14"/>
                <w:szCs w:val="14"/>
                <w:color w:val="auto"/>
              </w:rPr>
              <w:t>2,664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Impairments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Dry hole costs and leasehold impairments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Accretion on discounted liabilities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80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80</w:t>
            </w:r>
          </w:p>
        </w:tc>
        <w:tc>
          <w:tcPr>
            <w:tcW w:w="620" w:type="dxa"/>
            <w:vAlign w:val="bottom"/>
          </w:tcPr>
          <w:p>
            <w:pPr>
              <w:jc w:val="right"/>
              <w:spacing w:after="0"/>
              <w:rPr>
                <w:sz w:val="20"/>
                <w:szCs w:val="20"/>
                <w:color w:val="auto"/>
              </w:rPr>
            </w:pPr>
            <w:r>
              <w:rPr>
                <w:rFonts w:ascii="Arial" w:cs="Arial" w:eastAsia="Arial" w:hAnsi="Arial"/>
                <w:sz w:val="14"/>
                <w:szCs w:val="14"/>
                <w:color w:val="auto"/>
              </w:rPr>
              <w:t>85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Deferred taxes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38</w:t>
            </w:r>
          </w:p>
        </w:tc>
        <w:tc>
          <w:tcPr>
            <w:tcW w:w="620" w:type="dxa"/>
            <w:vAlign w:val="bottom"/>
          </w:tcPr>
          <w:p>
            <w:pPr>
              <w:jc w:val="right"/>
              <w:spacing w:after="0"/>
              <w:rPr>
                <w:sz w:val="20"/>
                <w:szCs w:val="20"/>
                <w:color w:val="auto"/>
              </w:rPr>
            </w:pPr>
            <w:r>
              <w:rPr>
                <w:rFonts w:ascii="Arial" w:cs="Arial" w:eastAsia="Arial" w:hAnsi="Arial"/>
                <w:sz w:val="14"/>
                <w:szCs w:val="14"/>
                <w:color w:val="auto"/>
              </w:rPr>
              <w:t>118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580" w:type="dxa"/>
            <w:vAlign w:val="bottom"/>
          </w:tcPr>
          <w:p>
            <w:pPr>
              <w:ind w:left="100"/>
              <w:spacing w:after="0"/>
              <w:rPr>
                <w:sz w:val="20"/>
                <w:szCs w:val="20"/>
                <w:color w:val="auto"/>
              </w:rPr>
            </w:pPr>
            <w:r>
              <w:rPr>
                <w:rFonts w:ascii="Arial" w:cs="Arial" w:eastAsia="Arial" w:hAnsi="Arial"/>
                <w:sz w:val="14"/>
                <w:szCs w:val="14"/>
                <w:color w:val="auto"/>
              </w:rPr>
              <w:t>Distributions more (less) than income from equity</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308</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56</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181</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100"/>
              <w:spacing w:after="0"/>
              <w:rPr>
                <w:sz w:val="20"/>
                <w:szCs w:val="20"/>
                <w:color w:val="auto"/>
              </w:rPr>
            </w:pPr>
            <w:r>
              <w:rPr>
                <w:rFonts w:ascii="Arial" w:cs="Arial" w:eastAsia="Arial" w:hAnsi="Arial"/>
                <w:sz w:val="14"/>
                <w:szCs w:val="14"/>
                <w:color w:val="auto"/>
              </w:rPr>
              <w:t>affiliates</w:t>
            </w:r>
          </w:p>
        </w:tc>
        <w:tc>
          <w:tcPr>
            <w:tcW w:w="9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00"/>
              <w:spacing w:after="0"/>
              <w:rPr>
                <w:sz w:val="20"/>
                <w:szCs w:val="20"/>
                <w:color w:val="auto"/>
              </w:rPr>
            </w:pPr>
            <w:r>
              <w:rPr>
                <w:rFonts w:ascii="Arial" w:cs="Arial" w:eastAsia="Arial" w:hAnsi="Arial"/>
                <w:sz w:val="14"/>
                <w:szCs w:val="14"/>
                <w:color w:val="auto"/>
              </w:rPr>
              <w:t>(Gain) loss on dispositions</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Other</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76</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620" w:type="dxa"/>
            <w:vAlign w:val="bottom"/>
          </w:tcPr>
          <w:p>
            <w:pPr>
              <w:jc w:val="right"/>
              <w:spacing w:after="0"/>
              <w:rPr>
                <w:sz w:val="20"/>
                <w:szCs w:val="20"/>
                <w:color w:val="auto"/>
              </w:rPr>
            </w:pPr>
            <w:r>
              <w:rPr>
                <w:rFonts w:ascii="Arial" w:cs="Arial" w:eastAsia="Arial" w:hAnsi="Arial"/>
                <w:sz w:val="14"/>
                <w:szCs w:val="14"/>
                <w:color w:val="auto"/>
              </w:rPr>
              <w:t>148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working capital changes</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4,985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4,919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5,763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100"/>
              <w:spacing w:after="0"/>
              <w:rPr>
                <w:sz w:val="20"/>
                <w:szCs w:val="20"/>
                <w:color w:val="auto"/>
              </w:rPr>
            </w:pPr>
            <w:r>
              <w:rPr>
                <w:rFonts w:ascii="Arial" w:cs="Arial" w:eastAsia="Arial" w:hAnsi="Arial"/>
                <w:sz w:val="14"/>
                <w:szCs w:val="14"/>
                <w:color w:val="auto"/>
              </w:rPr>
              <w:t>Capital expenditures and investments</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(2,916)</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(2,969)</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(2,916)</w:t>
            </w:r>
          </w:p>
        </w:tc>
        <w:tc>
          <w:tcPr>
            <w:tcW w:w="620" w:type="dxa"/>
            <w:vAlign w:val="bottom"/>
          </w:tcPr>
          <w:p>
            <w:pPr>
              <w:jc w:val="right"/>
              <w:spacing w:after="0"/>
              <w:rPr>
                <w:sz w:val="20"/>
                <w:szCs w:val="20"/>
                <w:color w:val="auto"/>
              </w:rPr>
            </w:pPr>
            <w:r>
              <w:rPr>
                <w:rFonts w:ascii="Arial" w:cs="Arial" w:eastAsia="Arial" w:hAnsi="Arial"/>
                <w:sz w:val="14"/>
                <w:szCs w:val="14"/>
                <w:color w:val="auto"/>
              </w:rPr>
              <w:t>(3,317)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580" w:type="dxa"/>
            <w:vAlign w:val="bottom"/>
          </w:tcPr>
          <w:p>
            <w:pPr>
              <w:ind w:left="100"/>
              <w:spacing w:after="0"/>
              <w:rPr>
                <w:sz w:val="20"/>
                <w:szCs w:val="20"/>
                <w:color w:val="auto"/>
              </w:rPr>
            </w:pPr>
            <w:r>
              <w:rPr>
                <w:rFonts w:ascii="Arial" w:cs="Arial" w:eastAsia="Arial" w:hAnsi="Arial"/>
                <w:sz w:val="14"/>
                <w:szCs w:val="14"/>
                <w:color w:val="auto"/>
              </w:rPr>
              <w:t>Working capital changes associated with investing</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169</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4</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22</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100"/>
              <w:spacing w:after="0"/>
              <w:rPr>
                <w:sz w:val="20"/>
                <w:szCs w:val="20"/>
                <w:color w:val="auto"/>
              </w:rPr>
            </w:pPr>
            <w:r>
              <w:rPr>
                <w:rFonts w:ascii="Arial" w:cs="Arial" w:eastAsia="Arial" w:hAnsi="Arial"/>
                <w:sz w:val="14"/>
                <w:szCs w:val="14"/>
                <w:color w:val="auto"/>
              </w:rPr>
              <w:t>activities</w:t>
            </w:r>
          </w:p>
        </w:tc>
        <w:tc>
          <w:tcPr>
            <w:tcW w:w="9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00"/>
              <w:spacing w:after="0"/>
              <w:rPr>
                <w:sz w:val="20"/>
                <w:szCs w:val="20"/>
                <w:color w:val="auto"/>
              </w:rPr>
            </w:pPr>
            <w:r>
              <w:rPr>
                <w:rFonts w:ascii="Arial" w:cs="Arial" w:eastAsia="Arial" w:hAnsi="Arial"/>
                <w:sz w:val="14"/>
                <w:szCs w:val="14"/>
                <w:color w:val="auto"/>
              </w:rPr>
              <w:t>Acquisition of businesses, net of cash acquired</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Proceeds from asset dispositions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173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620" w:type="dxa"/>
            <w:vAlign w:val="bottom"/>
          </w:tcPr>
          <w:p>
            <w:pPr>
              <w:jc w:val="right"/>
              <w:spacing w:after="0"/>
              <w:rPr>
                <w:sz w:val="20"/>
                <w:szCs w:val="20"/>
                <w:color w:val="auto"/>
              </w:rPr>
            </w:pPr>
            <w:r>
              <w:rPr>
                <w:rFonts w:ascii="Arial" w:cs="Arial" w:eastAsia="Arial" w:hAnsi="Arial"/>
                <w:sz w:val="14"/>
                <w:szCs w:val="14"/>
                <w:color w:val="auto"/>
              </w:rPr>
              <w:t>44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rPr>
                <w:sz w:val="20"/>
                <w:szCs w:val="20"/>
                <w:color w:val="auto"/>
              </w:rPr>
            </w:pPr>
            <w:r>
              <w:rPr>
                <w:rFonts w:ascii="Arial" w:cs="Arial" w:eastAsia="Arial" w:hAnsi="Arial"/>
                <w:sz w:val="14"/>
                <w:szCs w:val="14"/>
                <w:color w:val="auto"/>
              </w:rPr>
              <w:t>Net sales (purchases) of investments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405</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(1,199)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195</w:t>
            </w:r>
          </w:p>
        </w:tc>
        <w:tc>
          <w:tcPr>
            <w:tcW w:w="620" w:type="dxa"/>
            <w:vAlign w:val="bottom"/>
          </w:tcPr>
          <w:p>
            <w:pPr>
              <w:jc w:val="right"/>
              <w:spacing w:after="0"/>
              <w:rPr>
                <w:sz w:val="20"/>
                <w:szCs w:val="20"/>
                <w:color w:val="auto"/>
              </w:rPr>
            </w:pPr>
            <w:r>
              <w:rPr>
                <w:rFonts w:ascii="Arial" w:cs="Arial" w:eastAsia="Arial" w:hAnsi="Arial"/>
                <w:sz w:val="14"/>
                <w:szCs w:val="14"/>
                <w:color w:val="auto"/>
              </w:rPr>
              <w:t>1,014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(2,141)</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(4,151)</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2,849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1,971</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1,726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20" w:type="dxa"/>
            <w:vAlign w:val="bottom"/>
          </w:tcPr>
          <w:p>
            <w:pPr>
              <w:spacing w:after="0"/>
              <w:rPr>
                <w:sz w:val="17"/>
                <w:szCs w:val="17"/>
                <w:color w:val="auto"/>
              </w:rPr>
            </w:pPr>
          </w:p>
        </w:tc>
      </w:tr>
      <w:tr>
        <w:trPr>
          <w:trHeight w:val="194"/>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2,746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2,838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2,917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8,501</w:t>
            </w:r>
          </w:p>
        </w:tc>
        <w:tc>
          <w:tcPr>
            <w:tcW w:w="20" w:type="dxa"/>
            <w:vAlign w:val="bottom"/>
            <w:shd w:val="clear" w:color="auto" w:fill="CCEEFF"/>
          </w:tcPr>
          <w:p>
            <w:pPr>
              <w:spacing w:after="0"/>
              <w:rPr>
                <w:sz w:val="16"/>
                <w:szCs w:val="16"/>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61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94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95</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94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149</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354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20" w:type="dxa"/>
            <w:vAlign w:val="bottom"/>
            <w:shd w:val="clear" w:color="auto" w:fill="CCEEFF"/>
          </w:tcPr>
          <w:p>
            <w:pPr>
              <w:spacing w:after="0"/>
              <w:rPr>
                <w:sz w:val="17"/>
                <w:szCs w:val="17"/>
                <w:color w:val="auto"/>
              </w:rPr>
            </w:pPr>
          </w:p>
        </w:tc>
      </w:tr>
      <w:tr>
        <w:trPr>
          <w:trHeight w:val="338"/>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389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 w:type="dxa"/>
            <w:vAlign w:val="bottom"/>
            <w:shd w:val="clear" w:color="auto" w:fill="CCEEFF"/>
          </w:tcPr>
          <w:p>
            <w:pPr>
              <w:spacing w:after="0"/>
              <w:rPr>
                <w:sz w:val="24"/>
                <w:szCs w:val="24"/>
                <w:color w:val="auto"/>
              </w:rPr>
            </w:pPr>
          </w:p>
        </w:tc>
      </w:tr>
      <w:tr>
        <w:trPr>
          <w:trHeight w:val="203"/>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(317)</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(115)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53</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(141)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20" w:type="dxa"/>
            <w:vAlign w:val="bottom"/>
            <w:shd w:val="clear" w:color="auto" w:fill="CCEEFF"/>
          </w:tcPr>
          <w:p>
            <w:pPr>
              <w:spacing w:after="0"/>
              <w:rPr>
                <w:sz w:val="17"/>
                <w:szCs w:val="17"/>
                <w:color w:val="auto"/>
              </w:rPr>
            </w:pPr>
          </w:p>
        </w:tc>
      </w:tr>
      <w:tr>
        <w:trPr>
          <w:trHeight w:val="20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648</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(1,236)</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512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tcBorders>
              <w:bottom w:val="single" w:sz="8" w:color="auto"/>
            </w:tcBorders>
            <w:shd w:val="clear" w:color="auto" w:fill="CCEEFF"/>
          </w:tcPr>
          <w:p>
            <w:pPr>
              <w:spacing w:after="0"/>
              <w:rPr>
                <w:sz w:val="17"/>
                <w:szCs w:val="17"/>
                <w:color w:val="auto"/>
              </w:rPr>
            </w:pP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6,115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3,485</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5,878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15,478</w:t>
            </w:r>
          </w:p>
        </w:tc>
        <w:tc>
          <w:tcPr>
            <w:tcW w:w="20" w:type="dxa"/>
            <w:vAlign w:val="bottom"/>
            <w:tcBorders>
              <w:bottom w:val="single" w:sz="8" w:color="auto"/>
            </w:tcBorders>
            <w:shd w:val="clear" w:color="auto" w:fill="CCEEFF"/>
          </w:tcPr>
          <w:p>
            <w:pPr>
              <w:spacing w:after="0"/>
              <w:rPr>
                <w:sz w:val="18"/>
                <w:szCs w:val="18"/>
                <w:color w:val="auto"/>
              </w:rPr>
            </w:pPr>
          </w:p>
        </w:tc>
      </w:tr>
      <w:tr>
        <w:trPr>
          <w:trHeight w:val="532"/>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(3,378)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(3,286)</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(2,866)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(9,530)</w:t>
            </w:r>
          </w:p>
        </w:tc>
        <w:tc>
          <w:tcPr>
            <w:tcW w:w="20" w:type="dxa"/>
            <w:vAlign w:val="bottom"/>
            <w:shd w:val="clear" w:color="auto" w:fill="CCEEFF"/>
          </w:tcPr>
          <w:p>
            <w:pPr>
              <w:spacing w:after="0"/>
              <w:rPr>
                <w:sz w:val="24"/>
                <w:szCs w:val="24"/>
                <w:color w:val="auto"/>
              </w:rPr>
            </w:pPr>
          </w:p>
        </w:tc>
      </w:tr>
      <w:tr>
        <w:trPr>
          <w:trHeight w:val="338"/>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827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(276)</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(63)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20" w:type="dxa"/>
            <w:vAlign w:val="bottom"/>
            <w:shd w:val="clear" w:color="auto" w:fill="CCEEFF"/>
          </w:tcPr>
          <w:p>
            <w:pPr>
              <w:spacing w:after="0"/>
              <w:rPr>
                <w:sz w:val="24"/>
                <w:szCs w:val="24"/>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635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706</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291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392</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(548)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0" w:type="dxa"/>
            <w:vAlign w:val="bottom"/>
            <w:shd w:val="clear" w:color="auto" w:fill="CCEEFF"/>
          </w:tcPr>
          <w:p>
            <w:pPr>
              <w:spacing w:after="0"/>
              <w:rPr>
                <w:sz w:val="17"/>
                <w:szCs w:val="17"/>
                <w:color w:val="auto"/>
              </w:rPr>
            </w:pPr>
          </w:p>
        </w:tc>
      </w:tr>
      <w:tr>
        <w:trPr>
          <w:trHeight w:val="207"/>
        </w:trPr>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CCEEFF"/>
          </w:tcPr>
          <w:p>
            <w:pPr>
              <w:spacing w:after="0"/>
              <w:rPr>
                <w:sz w:val="17"/>
                <w:szCs w:val="17"/>
                <w:color w:val="auto"/>
              </w:rPr>
            </w:pPr>
          </w:p>
        </w:tc>
      </w:tr>
      <w:tr>
        <w:trPr>
          <w:trHeight w:val="207"/>
        </w:trPr>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(2,346)</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(2,461)</w:t>
            </w:r>
          </w:p>
        </w:tc>
        <w:tc>
          <w:tcPr>
            <w:tcW w:w="1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(3,179)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(7,986)</w:t>
            </w:r>
          </w:p>
        </w:tc>
        <w:tc>
          <w:tcPr>
            <w:tcW w:w="20" w:type="dxa"/>
            <w:vAlign w:val="bottom"/>
            <w:tcBorders>
              <w:bottom w:val="single" w:sz="8" w:color="auto"/>
            </w:tcBorders>
            <w:shd w:val="clear" w:color="auto" w:fill="CCEEFF"/>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31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20" w:type="dxa"/>
            <w:vAlign w:val="bottom"/>
          </w:tcPr>
          <w:p>
            <w:pPr>
              <w:ind w:left="100"/>
              <w:spacing w:after="0"/>
              <w:rPr>
                <w:sz w:val="20"/>
                <w:szCs w:val="20"/>
                <w:color w:val="auto"/>
              </w:rPr>
            </w:pPr>
            <w:r>
              <w:rPr>
                <w:rFonts w:ascii="Arial" w:cs="Arial" w:eastAsia="Arial" w:hAnsi="Arial"/>
                <w:sz w:val="14"/>
                <w:szCs w:val="14"/>
                <w:color w:val="auto"/>
              </w:rPr>
              <w:t>Net issuance (repayment) of debt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(505)</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620" w:type="dxa"/>
            <w:vAlign w:val="bottom"/>
          </w:tcPr>
          <w:p>
            <w:pPr>
              <w:jc w:val="right"/>
              <w:spacing w:after="0"/>
              <w:rPr>
                <w:sz w:val="20"/>
                <w:szCs w:val="20"/>
                <w:color w:val="auto"/>
              </w:rPr>
            </w:pPr>
            <w:r>
              <w:rPr>
                <w:rFonts w:ascii="Arial" w:cs="Arial" w:eastAsia="Arial" w:hAnsi="Arial"/>
                <w:sz w:val="14"/>
                <w:szCs w:val="14"/>
                <w:color w:val="auto"/>
              </w:rPr>
              <w:t>1,217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3"/>
        </w:trPr>
        <w:tc>
          <w:tcPr>
            <w:tcW w:w="3720" w:type="dxa"/>
            <w:vAlign w:val="bottom"/>
          </w:tcPr>
          <w:p>
            <w:pPr>
              <w:ind w:left="100"/>
              <w:spacing w:after="0"/>
              <w:rPr>
                <w:sz w:val="20"/>
                <w:szCs w:val="20"/>
                <w:color w:val="auto"/>
              </w:rPr>
            </w:pPr>
            <w:r>
              <w:rPr>
                <w:rFonts w:ascii="Arial" w:cs="Arial" w:eastAsia="Arial" w:hAnsi="Arial"/>
                <w:sz w:val="14"/>
                <w:szCs w:val="14"/>
                <w:color w:val="auto"/>
              </w:rPr>
              <w:t>Issuance of company common stock</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3"/>
        </w:trPr>
        <w:tc>
          <w:tcPr>
            <w:tcW w:w="3720" w:type="dxa"/>
            <w:vAlign w:val="bottom"/>
          </w:tcPr>
          <w:p>
            <w:pPr>
              <w:ind w:left="100"/>
              <w:spacing w:after="0"/>
              <w:rPr>
                <w:sz w:val="20"/>
                <w:szCs w:val="20"/>
                <w:color w:val="auto"/>
              </w:rPr>
            </w:pPr>
            <w:r>
              <w:rPr>
                <w:rFonts w:ascii="Arial" w:cs="Arial" w:eastAsia="Arial" w:hAnsi="Arial"/>
                <w:sz w:val="14"/>
                <w:szCs w:val="14"/>
                <w:color w:val="auto"/>
              </w:rPr>
              <w:t>Repurchase of company common stock</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(1,325)</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(1,021)</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(1,167)</w:t>
            </w:r>
          </w:p>
        </w:tc>
        <w:tc>
          <w:tcPr>
            <w:tcW w:w="620" w:type="dxa"/>
            <w:vAlign w:val="bottom"/>
          </w:tcPr>
          <w:p>
            <w:pPr>
              <w:jc w:val="right"/>
              <w:spacing w:after="0"/>
              <w:rPr>
                <w:sz w:val="20"/>
                <w:szCs w:val="20"/>
                <w:color w:val="auto"/>
              </w:rPr>
            </w:pPr>
            <w:r>
              <w:rPr>
                <w:rFonts w:ascii="Arial" w:cs="Arial" w:eastAsia="Arial" w:hAnsi="Arial"/>
                <w:sz w:val="14"/>
                <w:szCs w:val="14"/>
                <w:color w:val="auto"/>
              </w:rPr>
              <w:t>(1,950)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w:t>
            </w:r>
          </w:p>
        </w:tc>
        <w:tc>
          <w:tcPr>
            <w:tcW w:w="0" w:type="dxa"/>
            <w:vAlign w:val="bottom"/>
          </w:tcPr>
          <w:p>
            <w:pPr>
              <w:spacing w:after="0"/>
              <w:rPr>
                <w:sz w:val="1"/>
                <w:szCs w:val="1"/>
                <w:color w:val="auto"/>
              </w:rPr>
            </w:pPr>
          </w:p>
        </w:tc>
      </w:tr>
      <w:tr>
        <w:trPr>
          <w:trHeight w:val="203"/>
        </w:trPr>
        <w:tc>
          <w:tcPr>
            <w:tcW w:w="3720" w:type="dxa"/>
            <w:vAlign w:val="bottom"/>
          </w:tcPr>
          <w:p>
            <w:pPr>
              <w:ind w:left="100"/>
              <w:spacing w:after="0"/>
              <w:rPr>
                <w:sz w:val="20"/>
                <w:szCs w:val="20"/>
                <w:color w:val="auto"/>
              </w:rPr>
            </w:pPr>
            <w:r>
              <w:rPr>
                <w:rFonts w:ascii="Arial" w:cs="Arial" w:eastAsia="Arial" w:hAnsi="Arial"/>
                <w:sz w:val="14"/>
                <w:szCs w:val="14"/>
                <w:color w:val="auto"/>
              </w:rPr>
              <w:t>Dividends paid</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(924)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(915)</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(910)</w:t>
            </w:r>
          </w:p>
        </w:tc>
        <w:tc>
          <w:tcPr>
            <w:tcW w:w="620" w:type="dxa"/>
            <w:vAlign w:val="bottom"/>
          </w:tcPr>
          <w:p>
            <w:pPr>
              <w:jc w:val="right"/>
              <w:spacing w:after="0"/>
              <w:rPr>
                <w:sz w:val="20"/>
                <w:szCs w:val="20"/>
                <w:color w:val="auto"/>
              </w:rPr>
            </w:pPr>
            <w:r>
              <w:rPr>
                <w:rFonts w:ascii="Arial" w:cs="Arial" w:eastAsia="Arial" w:hAnsi="Arial"/>
                <w:sz w:val="14"/>
                <w:szCs w:val="14"/>
                <w:color w:val="auto"/>
              </w:rPr>
              <w:t>(897)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0" w:type="dxa"/>
            <w:vAlign w:val="bottom"/>
          </w:tcPr>
          <w:p>
            <w:pPr>
              <w:spacing w:after="0"/>
              <w:rPr>
                <w:sz w:val="1"/>
                <w:szCs w:val="1"/>
                <w:color w:val="auto"/>
              </w:rPr>
            </w:pPr>
          </w:p>
        </w:tc>
      </w:tr>
      <w:tr>
        <w:trPr>
          <w:trHeight w:val="207"/>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(2,825)</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(2,043)</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(2,198)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(8,835)</w:t>
            </w:r>
          </w:p>
        </w:tc>
        <w:tc>
          <w:tcPr>
            <w:tcW w:w="0" w:type="dxa"/>
            <w:vAlign w:val="bottom"/>
          </w:tcPr>
          <w:p>
            <w:pPr>
              <w:spacing w:after="0"/>
              <w:rPr>
                <w:sz w:val="1"/>
                <w:szCs w:val="1"/>
                <w:color w:val="auto"/>
              </w:rPr>
            </w:pPr>
          </w:p>
        </w:tc>
      </w:tr>
      <w:tr>
        <w:trPr>
          <w:trHeight w:val="33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Effect of exchange rate changes</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82"/>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Net change in cash, cash equivalents and restricted</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(54)</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(1,271)</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948</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383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cash</w:t>
            </w: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20" w:type="dxa"/>
            <w:vAlign w:val="bottom"/>
          </w:tcPr>
          <w:p>
            <w:pPr>
              <w:ind w:left="20"/>
              <w:spacing w:after="0" w:line="153" w:lineRule="exact"/>
              <w:rPr>
                <w:sz w:val="20"/>
                <w:szCs w:val="20"/>
                <w:color w:val="auto"/>
              </w:rPr>
            </w:pPr>
            <w:r>
              <w:rPr>
                <w:rFonts w:ascii="Arial" w:cs="Arial" w:eastAsia="Arial" w:hAnsi="Arial"/>
                <w:sz w:val="14"/>
                <w:szCs w:val="14"/>
                <w:color w:val="auto"/>
              </w:rPr>
              <w:t>Cash, cash equivalents and restricted cash at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5,899</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5,845</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4,574</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5,522</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5,899</w:t>
            </w: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beginning of period</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Cash, cash equivalents and restricted cash at end</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5,845</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4,574</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5,522</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5,905</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5,905</w:t>
            </w:r>
          </w:p>
        </w:tc>
        <w:tc>
          <w:tcPr>
            <w:tcW w:w="0" w:type="dxa"/>
            <w:vAlign w:val="bottom"/>
          </w:tcPr>
          <w:p>
            <w:pPr>
              <w:spacing w:after="0"/>
              <w:rPr>
                <w:sz w:val="1"/>
                <w:szCs w:val="1"/>
                <w:color w:val="auto"/>
              </w:rPr>
            </w:pPr>
          </w:p>
        </w:tc>
      </w:tr>
      <w:tr>
        <w:trPr>
          <w:trHeight w:val="20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 period</w:t>
            </w: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1868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0060" cy="18688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auto"/>
        </w:rPr>
        <w:t>Restricted cash is included in the "Other assets" line of our Consolidated Balance Sheet.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ind w:left="20"/>
              <w:spacing w:after="0"/>
              <w:rPr>
                <w:sz w:val="20"/>
                <w:szCs w:val="20"/>
                <w:color w:val="auto"/>
              </w:rPr>
            </w:pPr>
            <w:r>
              <w:rPr>
                <w:rFonts w:ascii="Arial" w:cs="Arial" w:eastAsia="Arial" w:hAnsi="Arial"/>
                <w:sz w:val="14"/>
                <w:szCs w:val="14"/>
                <w:b w:val="1"/>
                <w:bCs w:val="1"/>
                <w:color w:val="0000FF"/>
              </w:rPr>
              <w:t>CAPITAL EXPENDITURES AND INVESTMENTS</w:t>
            </w: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580" w:type="dxa"/>
            <w:vAlign w:val="bottom"/>
          </w:tcPr>
          <w:p>
            <w:pPr>
              <w:ind w:left="60"/>
              <w:spacing w:after="0"/>
              <w:rPr>
                <w:sz w:val="20"/>
                <w:szCs w:val="20"/>
                <w:color w:val="auto"/>
              </w:rPr>
            </w:pPr>
            <w:r>
              <w:rPr>
                <w:rFonts w:ascii="Arial" w:cs="Arial" w:eastAsia="Arial" w:hAnsi="Arial"/>
                <w:sz w:val="14"/>
                <w:szCs w:val="14"/>
                <w:color w:val="auto"/>
              </w:rPr>
              <w:t>Alaska</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720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691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691</w:t>
            </w:r>
          </w:p>
        </w:tc>
        <w:tc>
          <w:tcPr>
            <w:tcW w:w="620" w:type="dxa"/>
            <w:vAlign w:val="bottom"/>
          </w:tcPr>
          <w:p>
            <w:pPr>
              <w:jc w:val="right"/>
              <w:spacing w:after="0"/>
              <w:rPr>
                <w:sz w:val="20"/>
                <w:szCs w:val="20"/>
                <w:color w:val="auto"/>
              </w:rPr>
            </w:pPr>
            <w:r>
              <w:rPr>
                <w:rFonts w:ascii="Arial" w:cs="Arial" w:eastAsia="Arial" w:hAnsi="Arial"/>
                <w:sz w:val="14"/>
                <w:szCs w:val="14"/>
                <w:color w:val="auto"/>
              </w:rPr>
              <w:t>1,092</w:t>
            </w:r>
          </w:p>
        </w:tc>
        <w:tc>
          <w:tcPr>
            <w:tcW w:w="740" w:type="dxa"/>
            <w:vAlign w:val="bottom"/>
          </w:tcPr>
          <w:p>
            <w:pPr>
              <w:jc w:val="right"/>
              <w:spacing w:after="0"/>
              <w:rPr>
                <w:sz w:val="20"/>
                <w:szCs w:val="20"/>
                <w:color w:val="auto"/>
              </w:rPr>
            </w:pPr>
            <w:r>
              <w:rPr>
                <w:rFonts w:ascii="Arial" w:cs="Arial" w:eastAsia="Arial" w:hAnsi="Arial"/>
                <w:sz w:val="14"/>
                <w:szCs w:val="14"/>
                <w:color w:val="auto"/>
              </w:rPr>
              <w:t>3,194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Lower 48</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1,616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1,649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1,653</w:t>
            </w:r>
          </w:p>
        </w:tc>
        <w:tc>
          <w:tcPr>
            <w:tcW w:w="620" w:type="dxa"/>
            <w:vAlign w:val="bottom"/>
          </w:tcPr>
          <w:p>
            <w:pPr>
              <w:jc w:val="right"/>
              <w:spacing w:after="0"/>
              <w:rPr>
                <w:sz w:val="20"/>
                <w:szCs w:val="20"/>
                <w:color w:val="auto"/>
              </w:rPr>
            </w:pPr>
            <w:r>
              <w:rPr>
                <w:rFonts w:ascii="Arial" w:cs="Arial" w:eastAsia="Arial" w:hAnsi="Arial"/>
                <w:sz w:val="14"/>
                <w:szCs w:val="14"/>
                <w:color w:val="auto"/>
              </w:rPr>
              <w:t>1,592</w:t>
            </w:r>
          </w:p>
        </w:tc>
        <w:tc>
          <w:tcPr>
            <w:tcW w:w="740" w:type="dxa"/>
            <w:vAlign w:val="bottom"/>
          </w:tcPr>
          <w:p>
            <w:pPr>
              <w:jc w:val="right"/>
              <w:spacing w:after="0"/>
              <w:rPr>
                <w:sz w:val="20"/>
                <w:szCs w:val="20"/>
                <w:color w:val="auto"/>
              </w:rPr>
            </w:pPr>
            <w:r>
              <w:rPr>
                <w:rFonts w:ascii="Arial" w:cs="Arial" w:eastAsia="Arial" w:hAnsi="Arial"/>
                <w:sz w:val="14"/>
                <w:szCs w:val="14"/>
                <w:color w:val="auto"/>
              </w:rPr>
              <w:t>6,510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Canada</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136</w:t>
            </w:r>
          </w:p>
        </w:tc>
        <w:tc>
          <w:tcPr>
            <w:tcW w:w="620" w:type="dxa"/>
            <w:vAlign w:val="bottom"/>
          </w:tcPr>
          <w:p>
            <w:pPr>
              <w:jc w:val="right"/>
              <w:spacing w:after="0"/>
              <w:rPr>
                <w:sz w:val="20"/>
                <w:szCs w:val="20"/>
                <w:color w:val="auto"/>
              </w:rPr>
            </w:pPr>
            <w:r>
              <w:rPr>
                <w:rFonts w:ascii="Arial" w:cs="Arial" w:eastAsia="Arial" w:hAnsi="Arial"/>
                <w:sz w:val="14"/>
                <w:szCs w:val="14"/>
                <w:color w:val="auto"/>
              </w:rPr>
              <w:t>132</w:t>
            </w:r>
          </w:p>
        </w:tc>
        <w:tc>
          <w:tcPr>
            <w:tcW w:w="740" w:type="dxa"/>
            <w:vAlign w:val="bottom"/>
          </w:tcPr>
          <w:p>
            <w:pPr>
              <w:jc w:val="right"/>
              <w:spacing w:after="0"/>
              <w:rPr>
                <w:sz w:val="20"/>
                <w:szCs w:val="20"/>
                <w:color w:val="auto"/>
              </w:rPr>
            </w:pPr>
            <w:r>
              <w:rPr>
                <w:rFonts w:ascii="Arial" w:cs="Arial" w:eastAsia="Arial" w:hAnsi="Arial"/>
                <w:sz w:val="14"/>
                <w:szCs w:val="14"/>
                <w:color w:val="auto"/>
              </w:rPr>
              <w:t>551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Europe, Middle East and North Africa</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248</w:t>
            </w:r>
          </w:p>
        </w:tc>
        <w:tc>
          <w:tcPr>
            <w:tcW w:w="620" w:type="dxa"/>
            <w:vAlign w:val="bottom"/>
          </w:tcPr>
          <w:p>
            <w:pPr>
              <w:jc w:val="right"/>
              <w:spacing w:after="0"/>
              <w:rPr>
                <w:sz w:val="20"/>
                <w:szCs w:val="20"/>
                <w:color w:val="auto"/>
              </w:rPr>
            </w:pPr>
            <w:r>
              <w:rPr>
                <w:rFonts w:ascii="Arial" w:cs="Arial" w:eastAsia="Arial" w:hAnsi="Arial"/>
                <w:sz w:val="14"/>
                <w:szCs w:val="14"/>
                <w:color w:val="auto"/>
              </w:rPr>
              <w:t>327</w:t>
            </w:r>
          </w:p>
        </w:tc>
        <w:tc>
          <w:tcPr>
            <w:tcW w:w="740" w:type="dxa"/>
            <w:vAlign w:val="bottom"/>
          </w:tcPr>
          <w:p>
            <w:pPr>
              <w:jc w:val="right"/>
              <w:spacing w:after="0"/>
              <w:rPr>
                <w:sz w:val="20"/>
                <w:szCs w:val="20"/>
                <w:color w:val="auto"/>
              </w:rPr>
            </w:pPr>
            <w:r>
              <w:rPr>
                <w:rFonts w:ascii="Arial" w:cs="Arial" w:eastAsia="Arial" w:hAnsi="Arial"/>
                <w:sz w:val="14"/>
                <w:szCs w:val="14"/>
                <w:color w:val="auto"/>
              </w:rPr>
              <w:t>1,021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90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620" w:type="dxa"/>
            <w:vAlign w:val="bottom"/>
          </w:tcPr>
          <w:p>
            <w:pPr>
              <w:jc w:val="right"/>
              <w:spacing w:after="0"/>
              <w:rPr>
                <w:sz w:val="20"/>
                <w:szCs w:val="20"/>
                <w:color w:val="auto"/>
              </w:rPr>
            </w:pPr>
            <w:r>
              <w:rPr>
                <w:rFonts w:ascii="Arial" w:cs="Arial" w:eastAsia="Arial" w:hAnsi="Arial"/>
                <w:sz w:val="14"/>
                <w:szCs w:val="14"/>
                <w:color w:val="auto"/>
              </w:rPr>
              <w:t>135</w:t>
            </w:r>
          </w:p>
        </w:tc>
        <w:tc>
          <w:tcPr>
            <w:tcW w:w="740" w:type="dxa"/>
            <w:vAlign w:val="bottom"/>
          </w:tcPr>
          <w:p>
            <w:pPr>
              <w:jc w:val="right"/>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Other International</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580" w:type="dxa"/>
            <w:vAlign w:val="bottom"/>
            <w:vMerge w:val="restart"/>
          </w:tcPr>
          <w:p>
            <w:pPr>
              <w:ind w:left="60"/>
              <w:spacing w:after="0"/>
              <w:rPr>
                <w:sz w:val="20"/>
                <w:szCs w:val="20"/>
                <w:color w:val="auto"/>
              </w:rPr>
            </w:pPr>
            <w:r>
              <w:rPr>
                <w:rFonts w:ascii="Arial" w:cs="Arial" w:eastAsia="Arial" w:hAnsi="Arial"/>
                <w:sz w:val="14"/>
                <w:szCs w:val="14"/>
                <w:color w:val="auto"/>
              </w:rPr>
              <w:t>Corporate and Other</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164</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181</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88</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5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capital expenditures and investments</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2,916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2,969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2,916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Capitalized interest included in total capital</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i w:val="1"/>
                <w:iCs w:val="1"/>
                <w:color w:val="auto"/>
              </w:rPr>
              <w:t>50</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i w:val="1"/>
                <w:iCs w:val="1"/>
                <w:color w:val="auto"/>
              </w:rPr>
              <w:t>58</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i w:val="1"/>
                <w:iCs w:val="1"/>
                <w:color w:val="auto"/>
              </w:rPr>
              <w:t>66</w:t>
            </w:r>
          </w:p>
        </w:tc>
        <w:tc>
          <w:tcPr>
            <w:tcW w:w="6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74</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248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expenditures and investments</w:t>
            </w:r>
          </w:p>
        </w:tc>
        <w:tc>
          <w:tcPr>
            <w:tcW w:w="9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12"/>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(547)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(259)</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(45)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203"/>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03"/>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(1,500)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(1,222)</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(1,274)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(3,996)</w:t>
            </w:r>
          </w:p>
        </w:tc>
      </w:tr>
      <w:tr>
        <w:trPr>
          <w:trHeight w:val="203"/>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(998)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(984)</w:t>
            </w:r>
          </w:p>
        </w:tc>
        <w:tc>
          <w:tcPr>
            <w:tcW w:w="1380" w:type="dxa"/>
            <w:vAlign w:val="bottom"/>
          </w:tcPr>
          <w:p>
            <w:pPr>
              <w:jc w:val="right"/>
              <w:ind w:right="708"/>
              <w:spacing w:after="0"/>
              <w:rPr>
                <w:sz w:val="20"/>
                <w:szCs w:val="20"/>
                <w:color w:val="auto"/>
              </w:rPr>
            </w:pPr>
            <w:r>
              <w:rPr>
                <w:rFonts w:ascii="Arial" w:cs="Arial" w:eastAsia="Arial" w:hAnsi="Arial"/>
                <w:sz w:val="14"/>
                <w:szCs w:val="14"/>
                <w:color w:val="auto"/>
              </w:rPr>
              <w:t>(975)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w:t>
            </w:r>
          </w:p>
        </w:tc>
      </w:tr>
      <w:tr>
        <w:trPr>
          <w:trHeight w:val="207"/>
        </w:trPr>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1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07"/>
        </w:trPr>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(3,137)</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(2,483)</w:t>
            </w:r>
          </w:p>
        </w:tc>
        <w:tc>
          <w:tcPr>
            <w:tcW w:w="1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(2,324)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(7,944)</w:t>
            </w:r>
          </w:p>
        </w:tc>
      </w:tr>
      <w:tr>
        <w:trPr>
          <w:trHeight w:val="333"/>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1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462"/>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715</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(1,394)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373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r>
      <w:tr>
        <w:trPr>
          <w:trHeight w:val="342"/>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5,905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6,620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5,226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5,905</w:t>
            </w:r>
          </w:p>
        </w:tc>
      </w:tr>
      <w:tr>
        <w:trPr>
          <w:trHeight w:val="375"/>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6,620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5,226</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5,599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5,599</w:t>
            </w:r>
          </w:p>
        </w:tc>
      </w:tr>
      <w:tr>
        <w:trPr>
          <w:trHeight w:val="795"/>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1,046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986</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753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w:t>
            </w:r>
          </w:p>
        </w:tc>
      </w:tr>
      <w:tr>
        <w:trPr>
          <w:trHeight w:val="351"/>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1,814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1,704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1,571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5,089</w:t>
            </w:r>
          </w:p>
        </w:tc>
      </w:tr>
      <w:tr>
        <w:trPr>
          <w:trHeight w:val="351"/>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152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r>
      <w:tr>
        <w:trPr>
          <w:trHeight w:val="351"/>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274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356</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293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351"/>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70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351"/>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355"/>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40"/>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3,378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3,286</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2,866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9,530</w:t>
            </w:r>
          </w:p>
        </w:tc>
      </w:tr>
      <w:tr>
        <w:trPr>
          <w:trHeight w:val="331"/>
        </w:trPr>
        <w:tc>
          <w:tcPr>
            <w:tcW w:w="880" w:type="dxa"/>
            <w:vAlign w:val="bottom"/>
          </w:tcPr>
          <w:p>
            <w:pPr>
              <w:jc w:val="right"/>
              <w:ind w:right="128"/>
              <w:spacing w:after="0"/>
              <w:rPr>
                <w:sz w:val="20"/>
                <w:szCs w:val="20"/>
                <w:color w:val="auto"/>
              </w:rPr>
            </w:pPr>
            <w:r>
              <w:rPr>
                <w:rFonts w:ascii="Arial" w:cs="Arial" w:eastAsia="Arial" w:hAnsi="Arial"/>
                <w:sz w:val="14"/>
                <w:szCs w:val="14"/>
                <w:i w:val="1"/>
                <w:iCs w:val="1"/>
                <w:color w:val="auto"/>
              </w:rPr>
              <w:t>80</w:t>
            </w:r>
          </w:p>
        </w:tc>
        <w:tc>
          <w:tcPr>
            <w:tcW w:w="760" w:type="dxa"/>
            <w:vAlign w:val="bottom"/>
          </w:tcPr>
          <w:p>
            <w:pPr>
              <w:jc w:val="right"/>
              <w:ind w:right="128"/>
              <w:spacing w:after="0"/>
              <w:rPr>
                <w:sz w:val="20"/>
                <w:szCs w:val="20"/>
                <w:color w:val="auto"/>
              </w:rPr>
            </w:pPr>
            <w:r>
              <w:rPr>
                <w:rFonts w:ascii="Arial" w:cs="Arial" w:eastAsia="Arial" w:hAnsi="Arial"/>
                <w:sz w:val="14"/>
                <w:szCs w:val="14"/>
                <w:i w:val="1"/>
                <w:iCs w:val="1"/>
                <w:color w:val="auto"/>
              </w:rPr>
              <w:t>92</w:t>
            </w:r>
          </w:p>
        </w:tc>
        <w:tc>
          <w:tcPr>
            <w:tcW w:w="1380" w:type="dxa"/>
            <w:vAlign w:val="bottom"/>
          </w:tcPr>
          <w:p>
            <w:pPr>
              <w:jc w:val="right"/>
              <w:ind w:right="748"/>
              <w:spacing w:after="0"/>
              <w:rPr>
                <w:sz w:val="20"/>
                <w:szCs w:val="20"/>
                <w:color w:val="auto"/>
              </w:rPr>
            </w:pPr>
            <w:r>
              <w:rPr>
                <w:rFonts w:ascii="Arial" w:cs="Arial" w:eastAsia="Arial" w:hAnsi="Arial"/>
                <w:sz w:val="14"/>
                <w:szCs w:val="14"/>
                <w:i w:val="1"/>
                <w:iCs w:val="1"/>
                <w:color w:val="auto"/>
              </w:rPr>
              <w:t>102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274</w:t>
            </w:r>
          </w:p>
        </w:tc>
      </w:tr>
    </w:tbl>
    <w:p>
      <w:pPr>
        <w:sectPr>
          <w:pgSz w:w="11900" w:h="16838" w:orient="portrait"/>
          <w:cols w:equalWidth="0" w:num="2">
            <w:col w:w="7380" w:space="80"/>
            <w:col w:w="3780"/>
          </w:cols>
          <w:pgMar w:left="320" w:top="1143" w:right="339" w:bottom="1440" w:gutter="0" w:footer="0" w:header="0"/>
          <w:type w:val="continuous"/>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TOTAL SEGMENTS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Production</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Total (MBOED)</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1,902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1,945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1,917</w:t>
            </w:r>
          </w:p>
        </w:tc>
        <w:tc>
          <w:tcPr>
            <w:tcW w:w="720" w:type="dxa"/>
            <w:vAlign w:val="bottom"/>
          </w:tcPr>
          <w:p>
            <w:pPr>
              <w:jc w:val="right"/>
              <w:spacing w:after="0"/>
              <w:rPr>
                <w:sz w:val="20"/>
                <w:szCs w:val="20"/>
                <w:color w:val="auto"/>
              </w:rPr>
            </w:pPr>
            <w:r>
              <w:rPr>
                <w:rFonts w:ascii="Arial" w:cs="Arial" w:eastAsia="Arial" w:hAnsi="Arial"/>
                <w:sz w:val="14"/>
                <w:szCs w:val="14"/>
                <w:color w:val="auto"/>
              </w:rPr>
              <w:t>2,183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Crude Oil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945</w:t>
            </w:r>
          </w:p>
        </w:tc>
        <w:tc>
          <w:tcPr>
            <w:tcW w:w="720" w:type="dxa"/>
            <w:vAlign w:val="bottom"/>
          </w:tcPr>
          <w:p>
            <w:pPr>
              <w:jc w:val="right"/>
              <w:spacing w:after="0"/>
              <w:rPr>
                <w:sz w:val="20"/>
                <w:szCs w:val="20"/>
                <w:color w:val="auto"/>
              </w:rPr>
            </w:pPr>
            <w:r>
              <w:rPr>
                <w:rFonts w:ascii="Arial" w:cs="Arial" w:eastAsia="Arial" w:hAnsi="Arial"/>
                <w:sz w:val="14"/>
                <w:szCs w:val="14"/>
                <w:color w:val="auto"/>
              </w:rPr>
              <w:t>1,058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13"/>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309"/>
        </w:trPr>
        <w:tc>
          <w:tcPr>
            <w:tcW w:w="3600" w:type="dxa"/>
            <w:vAlign w:val="bottom"/>
          </w:tcPr>
          <w:p>
            <w:pPr>
              <w:ind w:left="20"/>
              <w:spacing w:after="0"/>
              <w:rPr>
                <w:sz w:val="20"/>
                <w:szCs w:val="20"/>
                <w:color w:val="auto"/>
              </w:rPr>
            </w:pPr>
            <w:r>
              <w:rPr>
                <w:rFonts w:ascii="Arial" w:cs="Arial" w:eastAsia="Arial" w:hAnsi="Arial"/>
                <w:sz w:val="14"/>
                <w:szCs w:val="14"/>
                <w:color w:val="auto"/>
              </w:rPr>
              <w:t>NGL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720" w:type="dxa"/>
            <w:vAlign w:val="bottom"/>
          </w:tcPr>
          <w:p>
            <w:pPr>
              <w:jc w:val="right"/>
              <w:spacing w:after="0"/>
              <w:rPr>
                <w:sz w:val="20"/>
                <w:szCs w:val="20"/>
                <w:color w:val="auto"/>
              </w:rPr>
            </w:pPr>
            <w:r>
              <w:rPr>
                <w:rFonts w:ascii="Arial" w:cs="Arial" w:eastAsia="Arial" w:hAnsi="Arial"/>
                <w:sz w:val="14"/>
                <w:szCs w:val="14"/>
                <w:color w:val="auto"/>
              </w:rPr>
              <w:t>355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41"/>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309"/>
        </w:trPr>
        <w:tc>
          <w:tcPr>
            <w:tcW w:w="3600" w:type="dxa"/>
            <w:vAlign w:val="bottom"/>
          </w:tcPr>
          <w:p>
            <w:pPr>
              <w:ind w:left="20"/>
              <w:spacing w:after="0"/>
              <w:rPr>
                <w:sz w:val="20"/>
                <w:szCs w:val="20"/>
                <w:color w:val="auto"/>
              </w:rPr>
            </w:pPr>
            <w:r>
              <w:rPr>
                <w:rFonts w:ascii="Arial" w:cs="Arial" w:eastAsia="Arial" w:hAnsi="Arial"/>
                <w:sz w:val="14"/>
                <w:szCs w:val="14"/>
                <w:color w:val="auto"/>
              </w:rPr>
              <w:t>Bitumen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41"/>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309"/>
        </w:trPr>
        <w:tc>
          <w:tcPr>
            <w:tcW w:w="3600" w:type="dxa"/>
            <w:vAlign w:val="bottom"/>
          </w:tcPr>
          <w:p>
            <w:pPr>
              <w:ind w:left="20"/>
              <w:spacing w:after="0"/>
              <w:rPr>
                <w:sz w:val="20"/>
                <w:szCs w:val="20"/>
                <w:color w:val="auto"/>
              </w:rPr>
            </w:pPr>
            <w:r>
              <w:rPr>
                <w:rFonts w:ascii="Arial" w:cs="Arial" w:eastAsia="Arial" w:hAnsi="Arial"/>
                <w:sz w:val="14"/>
                <w:szCs w:val="14"/>
                <w:color w:val="auto"/>
              </w:rPr>
              <w:t>Natural Gas (MMCFD)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2,035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2,123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2,149</w:t>
            </w:r>
          </w:p>
        </w:tc>
        <w:tc>
          <w:tcPr>
            <w:tcW w:w="720" w:type="dxa"/>
            <w:vAlign w:val="bottom"/>
          </w:tcPr>
          <w:p>
            <w:pPr>
              <w:jc w:val="right"/>
              <w:spacing w:after="0"/>
              <w:rPr>
                <w:sz w:val="20"/>
                <w:szCs w:val="20"/>
                <w:color w:val="auto"/>
              </w:rPr>
            </w:pPr>
            <w:r>
              <w:rPr>
                <w:rFonts w:ascii="Arial" w:cs="Arial" w:eastAsia="Arial" w:hAnsi="Arial"/>
                <w:sz w:val="14"/>
                <w:szCs w:val="14"/>
                <w:color w:val="auto"/>
              </w:rPr>
              <w:t>2,486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r>
      <w:tr>
        <w:trPr>
          <w:trHeight w:val="20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r>
      <w:tr>
        <w:trPr>
          <w:trHeight w:val="241"/>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r>
      <w:tr>
        <w:trPr>
          <w:trHeight w:val="31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Industry Prices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Crude Oil ($/BBL)</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WTI</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76.96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80.57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75.10</w:t>
            </w:r>
          </w:p>
        </w:tc>
        <w:tc>
          <w:tcPr>
            <w:tcW w:w="720" w:type="dxa"/>
            <w:vAlign w:val="bottom"/>
          </w:tcPr>
          <w:p>
            <w:pPr>
              <w:jc w:val="right"/>
              <w:spacing w:after="0"/>
              <w:rPr>
                <w:sz w:val="20"/>
                <w:szCs w:val="20"/>
                <w:color w:val="auto"/>
              </w:rPr>
            </w:pPr>
            <w:r>
              <w:rPr>
                <w:rFonts w:ascii="Arial" w:cs="Arial" w:eastAsia="Arial" w:hAnsi="Arial"/>
                <w:sz w:val="14"/>
                <w:szCs w:val="14"/>
                <w:color w:val="auto"/>
              </w:rPr>
              <w:t>70.27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75.72</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WCS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57.57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66.96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61.56</w:t>
            </w:r>
          </w:p>
        </w:tc>
        <w:tc>
          <w:tcPr>
            <w:tcW w:w="720" w:type="dxa"/>
            <w:vAlign w:val="bottom"/>
          </w:tcPr>
          <w:p>
            <w:pPr>
              <w:jc w:val="right"/>
              <w:spacing w:after="0"/>
              <w:rPr>
                <w:sz w:val="20"/>
                <w:szCs w:val="20"/>
                <w:color w:val="auto"/>
              </w:rPr>
            </w:pPr>
            <w:r>
              <w:rPr>
                <w:rFonts w:ascii="Arial" w:cs="Arial" w:eastAsia="Arial" w:hAnsi="Arial"/>
                <w:sz w:val="14"/>
                <w:szCs w:val="14"/>
                <w:color w:val="auto"/>
              </w:rPr>
              <w:t>57.71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60.95</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Brent dated</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83.24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84.94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80.18</w:t>
            </w:r>
          </w:p>
        </w:tc>
        <w:tc>
          <w:tcPr>
            <w:tcW w:w="720" w:type="dxa"/>
            <w:vAlign w:val="bottom"/>
          </w:tcPr>
          <w:p>
            <w:pPr>
              <w:jc w:val="right"/>
              <w:spacing w:after="0"/>
              <w:rPr>
                <w:sz w:val="20"/>
                <w:szCs w:val="20"/>
                <w:color w:val="auto"/>
              </w:rPr>
            </w:pPr>
            <w:r>
              <w:rPr>
                <w:rFonts w:ascii="Arial" w:cs="Arial" w:eastAsia="Arial" w:hAnsi="Arial"/>
                <w:sz w:val="14"/>
                <w:szCs w:val="14"/>
                <w:color w:val="auto"/>
              </w:rPr>
              <w:t>74.69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80.76</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JCC ($/BBL)</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92.29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84.19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87.58</w:t>
            </w:r>
          </w:p>
        </w:tc>
        <w:tc>
          <w:tcPr>
            <w:tcW w:w="720" w:type="dxa"/>
            <w:vAlign w:val="bottom"/>
          </w:tcPr>
          <w:p>
            <w:pPr>
              <w:jc w:val="right"/>
              <w:spacing w:after="0"/>
              <w:rPr>
                <w:sz w:val="20"/>
                <w:szCs w:val="20"/>
                <w:color w:val="auto"/>
              </w:rPr>
            </w:pPr>
            <w:r>
              <w:rPr>
                <w:rFonts w:ascii="Arial" w:cs="Arial" w:eastAsia="Arial" w:hAnsi="Arial"/>
                <w:sz w:val="14"/>
                <w:szCs w:val="14"/>
                <w:color w:val="auto"/>
              </w:rPr>
              <w:t>85.98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87.51</w:t>
            </w:r>
          </w:p>
        </w:tc>
      </w:tr>
      <w:tr>
        <w:trPr>
          <w:trHeight w:val="203"/>
        </w:trPr>
        <w:tc>
          <w:tcPr>
            <w:tcW w:w="3600" w:type="dxa"/>
            <w:vAlign w:val="bottom"/>
          </w:tcPr>
          <w:p>
            <w:pPr>
              <w:ind w:left="20"/>
              <w:spacing w:after="0"/>
              <w:rPr>
                <w:sz w:val="20"/>
                <w:szCs w:val="20"/>
                <w:color w:val="auto"/>
              </w:rPr>
            </w:pPr>
            <w:r>
              <w:rPr>
                <w:rFonts w:ascii="Arial" w:cs="Arial" w:eastAsia="Arial" w:hAnsi="Arial"/>
                <w:sz w:val="14"/>
                <w:szCs w:val="14"/>
                <w:color w:val="auto"/>
              </w:rPr>
              <w:t>Natural Gas ($/MMBTU)</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Henry Hub first of month</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333"/>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Average Realized Prices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600" w:type="dxa"/>
            <w:vAlign w:val="bottom"/>
          </w:tcPr>
          <w:p>
            <w:pPr>
              <w:ind w:left="20"/>
              <w:spacing w:after="0"/>
              <w:rPr>
                <w:sz w:val="20"/>
                <w:szCs w:val="20"/>
                <w:color w:val="auto"/>
              </w:rPr>
            </w:pPr>
            <w:r>
              <w:rPr>
                <w:rFonts w:ascii="Arial" w:cs="Arial" w:eastAsia="Arial" w:hAnsi="Arial"/>
                <w:sz w:val="14"/>
                <w:szCs w:val="14"/>
                <w:color w:val="auto"/>
              </w:rPr>
              <w:t>Total ($/BOE)</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56.60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56.56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54.18</w:t>
            </w:r>
          </w:p>
        </w:tc>
        <w:tc>
          <w:tcPr>
            <w:tcW w:w="720" w:type="dxa"/>
            <w:vAlign w:val="bottom"/>
          </w:tcPr>
          <w:p>
            <w:pPr>
              <w:jc w:val="right"/>
              <w:spacing w:after="0"/>
              <w:rPr>
                <w:sz w:val="20"/>
                <w:szCs w:val="20"/>
                <w:color w:val="auto"/>
              </w:rPr>
            </w:pPr>
            <w:r>
              <w:rPr>
                <w:rFonts w:ascii="Arial" w:cs="Arial" w:eastAsia="Arial" w:hAnsi="Arial"/>
                <w:sz w:val="14"/>
                <w:szCs w:val="14"/>
                <w:color w:val="auto"/>
              </w:rPr>
              <w:t>52.37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54.83</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Crude Oil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78.67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81.31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76.78</w:t>
            </w:r>
          </w:p>
        </w:tc>
        <w:tc>
          <w:tcPr>
            <w:tcW w:w="720" w:type="dxa"/>
            <w:vAlign w:val="bottom"/>
          </w:tcPr>
          <w:p>
            <w:pPr>
              <w:jc w:val="right"/>
              <w:spacing w:after="0"/>
              <w:rPr>
                <w:sz w:val="20"/>
                <w:szCs w:val="20"/>
                <w:color w:val="auto"/>
              </w:rPr>
            </w:pPr>
            <w:r>
              <w:rPr>
                <w:rFonts w:ascii="Arial" w:cs="Arial" w:eastAsia="Arial" w:hAnsi="Arial"/>
                <w:sz w:val="14"/>
                <w:szCs w:val="14"/>
                <w:color w:val="auto"/>
              </w:rPr>
              <w:t>71.01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76.74</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76.76</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76.77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76.74</w:t>
            </w:r>
          </w:p>
        </w:tc>
      </w:tr>
      <w:tr>
        <w:trPr>
          <w:trHeight w:val="327"/>
        </w:trPr>
        <w:tc>
          <w:tcPr>
            <w:tcW w:w="3600" w:type="dxa"/>
            <w:vAlign w:val="bottom"/>
          </w:tcPr>
          <w:p>
            <w:pPr>
              <w:ind w:left="20"/>
              <w:spacing w:after="0"/>
              <w:rPr>
                <w:sz w:val="20"/>
                <w:szCs w:val="20"/>
                <w:color w:val="auto"/>
              </w:rPr>
            </w:pPr>
            <w:r>
              <w:rPr>
                <w:rFonts w:ascii="Arial" w:cs="Arial" w:eastAsia="Arial" w:hAnsi="Arial"/>
                <w:sz w:val="14"/>
                <w:szCs w:val="14"/>
                <w:color w:val="auto"/>
              </w:rPr>
              <w:t>NGL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23.35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21.84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21.16</w:t>
            </w:r>
          </w:p>
        </w:tc>
        <w:tc>
          <w:tcPr>
            <w:tcW w:w="720" w:type="dxa"/>
            <w:vAlign w:val="bottom"/>
          </w:tcPr>
          <w:p>
            <w:pPr>
              <w:jc w:val="right"/>
              <w:spacing w:after="0"/>
              <w:rPr>
                <w:sz w:val="20"/>
                <w:szCs w:val="20"/>
                <w:color w:val="auto"/>
              </w:rPr>
            </w:pPr>
            <w:r>
              <w:rPr>
                <w:rFonts w:ascii="Arial" w:cs="Arial" w:eastAsia="Arial" w:hAnsi="Arial"/>
                <w:sz w:val="14"/>
                <w:szCs w:val="14"/>
                <w:color w:val="auto"/>
              </w:rPr>
              <w:t>23.31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52.09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51.53</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23.19</w:t>
            </w:r>
          </w:p>
        </w:tc>
      </w:tr>
      <w:tr>
        <w:trPr>
          <w:trHeight w:val="327"/>
        </w:trPr>
        <w:tc>
          <w:tcPr>
            <w:tcW w:w="3600" w:type="dxa"/>
            <w:vAlign w:val="bottom"/>
          </w:tcPr>
          <w:p>
            <w:pPr>
              <w:ind w:left="20"/>
              <w:spacing w:after="0"/>
              <w:rPr>
                <w:sz w:val="20"/>
                <w:szCs w:val="20"/>
                <w:color w:val="auto"/>
              </w:rPr>
            </w:pPr>
            <w:r>
              <w:rPr>
                <w:rFonts w:ascii="Arial" w:cs="Arial" w:eastAsia="Arial" w:hAnsi="Arial"/>
                <w:sz w:val="14"/>
                <w:szCs w:val="14"/>
                <w:color w:val="auto"/>
              </w:rPr>
              <w:t>Bitumen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47.92</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47.92</w:t>
            </w:r>
          </w:p>
        </w:tc>
      </w:tr>
      <w:tr>
        <w:trPr>
          <w:trHeight w:val="327"/>
        </w:trPr>
        <w:tc>
          <w:tcPr>
            <w:tcW w:w="360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720" w:type="dxa"/>
            <w:vAlign w:val="bottom"/>
          </w:tcPr>
          <w:p>
            <w:pPr>
              <w:jc w:val="right"/>
              <w:spacing w:after="0"/>
              <w:rPr>
                <w:sz w:val="20"/>
                <w:szCs w:val="20"/>
                <w:color w:val="auto"/>
              </w:rPr>
            </w:pPr>
            <w:r>
              <w:rPr>
                <w:rFonts w:ascii="Arial" w:cs="Arial" w:eastAsia="Arial" w:hAnsi="Arial"/>
                <w:sz w:val="14"/>
                <w:szCs w:val="14"/>
                <w:color w:val="auto"/>
              </w:rPr>
              <w:t>3.52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r>
      <w:tr>
        <w:trPr>
          <w:trHeight w:val="729"/>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2,389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2,391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2,399</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w:t>
            </w:r>
          </w:p>
        </w:tc>
      </w:tr>
      <w:tr>
        <w:trPr>
          <w:trHeight w:val="55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1,133</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13"/>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1,146</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r>
      <w:tr>
        <w:trPr>
          <w:trHeight w:val="512"/>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428</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41"/>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51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41"/>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512"/>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2,840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2,855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2,941</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w:t>
            </w:r>
          </w:p>
        </w:tc>
      </w:tr>
      <w:tr>
        <w:trPr>
          <w:trHeight w:val="20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1,226</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w:t>
            </w:r>
          </w:p>
        </w:tc>
      </w:tr>
      <w:tr>
        <w:trPr>
          <w:trHeight w:val="241"/>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4,167</w:t>
            </w: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4,081</w:t>
            </w:r>
          </w:p>
        </w:tc>
      </w:tr>
      <w:tr>
        <w:trPr>
          <w:trHeight w:val="715"/>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71.42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63.74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64.93</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66.70</w:t>
            </w:r>
          </w:p>
        </w:tc>
      </w:tr>
      <w:tr>
        <w:trPr>
          <w:trHeight w:val="20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58.75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53.52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54.54</w:t>
            </w:r>
          </w:p>
        </w:tc>
        <w:tc>
          <w:tcPr>
            <w:tcW w:w="72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55.60</w:t>
            </w:r>
          </w:p>
        </w:tc>
      </w:tr>
      <w:tr>
        <w:trPr>
          <w:trHeight w:val="20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75.66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67.82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69.07</w:t>
            </w:r>
          </w:p>
        </w:tc>
        <w:tc>
          <w:tcPr>
            <w:tcW w:w="72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w:t>
            </w:r>
          </w:p>
        </w:tc>
      </w:tr>
      <w:tr>
        <w:trPr>
          <w:trHeight w:val="20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78.31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78.84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74.92</w:t>
            </w:r>
          </w:p>
        </w:tc>
        <w:tc>
          <w:tcPr>
            <w:tcW w:w="72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77.35</w:t>
            </w:r>
          </w:p>
        </w:tc>
      </w:tr>
      <w:tr>
        <w:trPr>
          <w:trHeight w:val="409"/>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530"/>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53.34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45.77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46.44</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w:t>
            </w:r>
          </w:p>
        </w:tc>
      </w:tr>
      <w:tr>
        <w:trPr>
          <w:trHeight w:val="55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71.61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66.12</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67.31</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75.57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67.56</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69.85</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66.13</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67.34</w:t>
            </w:r>
          </w:p>
        </w:tc>
      </w:tr>
      <w:tr>
        <w:trPr>
          <w:trHeight w:val="530"/>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24.86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18.71</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44.39</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48.42</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19.20</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r>
      <w:tr>
        <w:trPr>
          <w:trHeight w:val="533"/>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w:t>
            </w: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w:t>
            </w:r>
          </w:p>
        </w:tc>
      </w:tr>
      <w:tr>
        <w:trPr>
          <w:trHeight w:val="530"/>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r>
    </w:tbl>
    <w:p>
      <w:pPr>
        <w:sectPr>
          <w:pgSz w:w="11900" w:h="16838" w:orient="portrait"/>
          <w:cols w:equalWidth="0" w:num="2">
            <w:col w:w="7380" w:space="80"/>
            <w:col w:w="3780"/>
          </w:cols>
          <w:pgMar w:left="320" w:top="1143" w:right="3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Exploration Expenses ($ Millions)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Dry holes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Leasehold impairment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3600" w:type="dxa"/>
            <w:vAlign w:val="bottom"/>
          </w:tcPr>
          <w:p>
            <w:pPr>
              <w:ind w:left="20"/>
              <w:spacing w:after="0"/>
              <w:rPr>
                <w:sz w:val="20"/>
                <w:szCs w:val="20"/>
                <w:color w:val="auto"/>
              </w:rPr>
            </w:pPr>
            <w:r>
              <w:rPr>
                <w:rFonts w:ascii="Arial" w:cs="Arial" w:eastAsia="Arial" w:hAnsi="Arial"/>
                <w:sz w:val="14"/>
                <w:szCs w:val="14"/>
                <w:color w:val="auto"/>
              </w:rPr>
              <w:t>Total noncash expenses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(G&amp;A, G&amp;G and lease rentals)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21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exploration expenses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006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r>
      <w:tr>
        <w:trPr>
          <w:trHeight w:val="378"/>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2"/>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720" w:type="dxa"/>
            <w:vAlign w:val="bottom"/>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21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0060" cy="26543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7380" w:space="80"/>
            <w:col w:w="3780"/>
          </w:cols>
          <w:pgMar w:left="320" w:top="1143" w:right="339" w:bottom="1440" w:gutter="0" w:footer="0" w:header="0"/>
        </w:sectPr>
      </w:pPr>
    </w:p>
    <w:tbl>
      <w:tblPr>
        <w:tblLayout w:type="fixed"/>
        <w:tblInd w:w="0" w:type="dxa"/>
        <w:tblCellMar>
          <w:top w:w="0" w:type="dxa"/>
          <w:left w:w="0" w:type="dxa"/>
          <w:bottom w:w="0" w:type="dxa"/>
          <w:right w:w="0" w:type="dxa"/>
        </w:tblCellMar>
      </w:tblPr>
      <w:tr>
        <w:trPr>
          <w:trHeight w:val="20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exploration expenses</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42</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0" w:type="dxa"/>
            <w:vAlign w:val="bottom"/>
            <w:tcBorders>
              <w:bottom w:val="single" w:sz="8" w:color="auto"/>
            </w:tcBorders>
          </w:tcPr>
          <w:p>
            <w:pPr>
              <w:spacing w:after="0"/>
              <w:rPr>
                <w:sz w:val="17"/>
                <w:szCs w:val="17"/>
                <w:color w:val="auto"/>
              </w:rPr>
            </w:pPr>
          </w:p>
        </w:tc>
      </w:tr>
      <w:tr>
        <w:trPr>
          <w:trHeight w:val="192"/>
        </w:trPr>
        <w:tc>
          <w:tcPr>
            <w:tcW w:w="3180" w:type="dxa"/>
            <w:vAlign w:val="bottom"/>
          </w:tcPr>
          <w:p>
            <w:pPr>
              <w:ind w:left="20"/>
              <w:spacing w:after="0"/>
              <w:rPr>
                <w:sz w:val="20"/>
                <w:szCs w:val="20"/>
                <w:color w:val="auto"/>
              </w:rPr>
            </w:pPr>
            <w:r>
              <w:rPr>
                <w:rFonts w:ascii="Arial" w:cs="Arial" w:eastAsia="Arial" w:hAnsi="Arial"/>
                <w:sz w:val="14"/>
                <w:szCs w:val="14"/>
                <w:color w:val="auto"/>
              </w:rPr>
              <w:t>International exploration expenses</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980" w:type="dxa"/>
            <w:vAlign w:val="bottom"/>
            <w:tcBorders>
              <w:left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75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 w:type="dxa"/>
            <w:vAlign w:val="bottom"/>
            <w:shd w:val="clear" w:color="auto" w:fill="CCEEFF"/>
          </w:tcPr>
          <w:p>
            <w:pPr>
              <w:spacing w:after="0"/>
              <w:rPr>
                <w:sz w:val="16"/>
                <w:szCs w:val="16"/>
                <w:color w:val="auto"/>
              </w:rPr>
            </w:pPr>
          </w:p>
        </w:tc>
      </w:tr>
      <w:tr>
        <w:trPr>
          <w:trHeight w:val="616"/>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DD&amp;A ($ Millions)</w:t>
            </w:r>
          </w:p>
        </w:tc>
        <w:tc>
          <w:tcPr>
            <w:tcW w:w="13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00" w:type="dxa"/>
            <w:vAlign w:val="bottom"/>
            <w:tcBorders>
              <w:left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r>
      <w:tr>
        <w:trPr>
          <w:trHeight w:val="197"/>
        </w:trPr>
        <w:tc>
          <w:tcPr>
            <w:tcW w:w="3180" w:type="dxa"/>
            <w:vAlign w:val="bottom"/>
          </w:tcPr>
          <w:p>
            <w:pPr>
              <w:ind w:left="60"/>
              <w:spacing w:after="0"/>
              <w:rPr>
                <w:sz w:val="20"/>
                <w:szCs w:val="20"/>
                <w:color w:val="auto"/>
              </w:rPr>
            </w:pPr>
            <w:r>
              <w:rPr>
                <w:rFonts w:ascii="Arial" w:cs="Arial" w:eastAsia="Arial" w:hAnsi="Arial"/>
                <w:sz w:val="14"/>
                <w:szCs w:val="14"/>
                <w:color w:val="auto"/>
              </w:rPr>
              <w:t>Alaska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324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321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309</w:t>
            </w:r>
          </w:p>
        </w:tc>
        <w:tc>
          <w:tcPr>
            <w:tcW w:w="620" w:type="dxa"/>
            <w:vAlign w:val="bottom"/>
          </w:tcPr>
          <w:p>
            <w:pPr>
              <w:jc w:val="right"/>
              <w:spacing w:after="0"/>
              <w:rPr>
                <w:sz w:val="20"/>
                <w:szCs w:val="20"/>
                <w:color w:val="auto"/>
              </w:rPr>
            </w:pPr>
            <w:r>
              <w:rPr>
                <w:rFonts w:ascii="Arial" w:cs="Arial" w:eastAsia="Arial" w:hAnsi="Arial"/>
                <w:sz w:val="14"/>
                <w:szCs w:val="14"/>
                <w:color w:val="auto"/>
              </w:rPr>
              <w:t>345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980" w:type="dxa"/>
            <w:vAlign w:val="bottom"/>
            <w:tcBorders>
              <w:left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355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361</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327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Lower 48</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1,432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1,557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1,640</w:t>
            </w:r>
          </w:p>
        </w:tc>
        <w:tc>
          <w:tcPr>
            <w:tcW w:w="620" w:type="dxa"/>
            <w:vAlign w:val="bottom"/>
          </w:tcPr>
          <w:p>
            <w:pPr>
              <w:jc w:val="right"/>
              <w:spacing w:after="0"/>
              <w:rPr>
                <w:sz w:val="20"/>
                <w:szCs w:val="20"/>
                <w:color w:val="auto"/>
              </w:rPr>
            </w:pPr>
            <w:r>
              <w:rPr>
                <w:rFonts w:ascii="Arial" w:cs="Arial" w:eastAsia="Arial" w:hAnsi="Arial"/>
                <w:sz w:val="14"/>
                <w:szCs w:val="14"/>
                <w:color w:val="auto"/>
              </w:rPr>
              <w:t>1,813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6,442</w:t>
            </w:r>
          </w:p>
        </w:tc>
        <w:tc>
          <w:tcPr>
            <w:tcW w:w="980" w:type="dxa"/>
            <w:vAlign w:val="bottom"/>
            <w:tcBorders>
              <w:left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1,904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2,003</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2,079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5,986</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Canada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158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147</w:t>
            </w:r>
          </w:p>
        </w:tc>
        <w:tc>
          <w:tcPr>
            <w:tcW w:w="620" w:type="dxa"/>
            <w:vAlign w:val="bottom"/>
          </w:tcPr>
          <w:p>
            <w:pPr>
              <w:jc w:val="right"/>
              <w:spacing w:after="0"/>
              <w:rPr>
                <w:sz w:val="20"/>
                <w:szCs w:val="20"/>
                <w:color w:val="auto"/>
              </w:rPr>
            </w:pPr>
            <w:r>
              <w:rPr>
                <w:rFonts w:ascii="Arial" w:cs="Arial" w:eastAsia="Arial" w:hAnsi="Arial"/>
                <w:sz w:val="14"/>
                <w:szCs w:val="14"/>
                <w:color w:val="auto"/>
              </w:rPr>
              <w:t>168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980" w:type="dxa"/>
            <w:vAlign w:val="bottom"/>
            <w:tcBorders>
              <w:left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131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143</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142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Europe, Middle East and North Africa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180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189</w:t>
            </w:r>
          </w:p>
        </w:tc>
        <w:tc>
          <w:tcPr>
            <w:tcW w:w="620" w:type="dxa"/>
            <w:vAlign w:val="bottom"/>
          </w:tcPr>
          <w:p>
            <w:pPr>
              <w:jc w:val="right"/>
              <w:spacing w:after="0"/>
              <w:rPr>
                <w:sz w:val="20"/>
                <w:szCs w:val="20"/>
                <w:color w:val="auto"/>
              </w:rPr>
            </w:pPr>
            <w:r>
              <w:rPr>
                <w:rFonts w:ascii="Arial" w:cs="Arial" w:eastAsia="Arial" w:hAnsi="Arial"/>
                <w:sz w:val="14"/>
                <w:szCs w:val="14"/>
                <w:color w:val="auto"/>
              </w:rPr>
              <w:t>217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980" w:type="dxa"/>
            <w:vAlign w:val="bottom"/>
            <w:tcBorders>
              <w:left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219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245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110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97</w:t>
            </w: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980" w:type="dxa"/>
            <w:vAlign w:val="bottom"/>
            <w:tcBorders>
              <w:left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119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Other International</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Corporate and Other</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left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4"/>
                <w:szCs w:val="14"/>
                <w:color w:val="auto"/>
              </w:rPr>
              <w:t>Total DD&amp;A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2,211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2,334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2,390</w:t>
            </w:r>
          </w:p>
        </w:tc>
        <w:tc>
          <w:tcPr>
            <w:tcW w:w="620" w:type="dxa"/>
            <w:vAlign w:val="bottom"/>
          </w:tcPr>
          <w:p>
            <w:pPr>
              <w:jc w:val="right"/>
              <w:spacing w:after="0"/>
              <w:rPr>
                <w:sz w:val="20"/>
                <w:szCs w:val="20"/>
                <w:color w:val="auto"/>
              </w:rPr>
            </w:pPr>
            <w:r>
              <w:rPr>
                <w:rFonts w:ascii="Arial" w:cs="Arial" w:eastAsia="Arial" w:hAnsi="Arial"/>
                <w:sz w:val="14"/>
                <w:szCs w:val="14"/>
                <w:color w:val="auto"/>
              </w:rPr>
              <w:t>2,664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9,599</w:t>
            </w:r>
          </w:p>
        </w:tc>
        <w:tc>
          <w:tcPr>
            <w:tcW w:w="980" w:type="dxa"/>
            <w:vAlign w:val="bottom"/>
            <w:tcBorders>
              <w:left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2,746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2,838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2,917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8,501</w:t>
            </w:r>
          </w:p>
        </w:tc>
        <w:tc>
          <w:tcPr>
            <w:tcW w:w="20" w:type="dxa"/>
            <w:vAlign w:val="bottom"/>
            <w:shd w:val="clear" w:color="auto" w:fill="CCEEFF"/>
          </w:tcPr>
          <w:p>
            <w:pPr>
              <w:spacing w:after="0"/>
              <w:rPr>
                <w:sz w:val="18"/>
                <w:szCs w:val="18"/>
                <w:color w:val="auto"/>
              </w:rPr>
            </w:pP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type w:val="continuous"/>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PRODUCTION</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Crude Oil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Alaska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720" w:type="dxa"/>
            <w:vAlign w:val="bottom"/>
          </w:tcPr>
          <w:p>
            <w:pPr>
              <w:jc w:val="right"/>
              <w:spacing w:after="0"/>
              <w:rPr>
                <w:sz w:val="20"/>
                <w:szCs w:val="20"/>
                <w:color w:val="auto"/>
              </w:rPr>
            </w:pPr>
            <w:r>
              <w:rPr>
                <w:rFonts w:ascii="Arial" w:cs="Arial" w:eastAsia="Arial" w:hAnsi="Arial"/>
                <w:sz w:val="14"/>
                <w:szCs w:val="14"/>
                <w:color w:val="auto"/>
              </w:rPr>
              <w:t>179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Lower 48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603</w:t>
            </w:r>
          </w:p>
        </w:tc>
        <w:tc>
          <w:tcPr>
            <w:tcW w:w="720" w:type="dxa"/>
            <w:vAlign w:val="bottom"/>
          </w:tcPr>
          <w:p>
            <w:pPr>
              <w:jc w:val="right"/>
              <w:spacing w:after="0"/>
              <w:rPr>
                <w:sz w:val="20"/>
                <w:szCs w:val="20"/>
                <w:color w:val="auto"/>
              </w:rPr>
            </w:pPr>
            <w:r>
              <w:rPr>
                <w:rFonts w:ascii="Arial" w:cs="Arial" w:eastAsia="Arial" w:hAnsi="Arial"/>
                <w:sz w:val="14"/>
                <w:szCs w:val="14"/>
                <w:color w:val="auto"/>
              </w:rPr>
              <w:t>677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Canada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Norway</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720" w:type="dxa"/>
            <w:vAlign w:val="bottom"/>
          </w:tcPr>
          <w:p>
            <w:pPr>
              <w:jc w:val="right"/>
              <w:spacing w:after="0"/>
              <w:rPr>
                <w:sz w:val="20"/>
                <w:szCs w:val="20"/>
                <w:color w:val="auto"/>
              </w:rPr>
            </w:pPr>
            <w:r>
              <w:rPr>
                <w:rFonts w:ascii="Arial" w:cs="Arial" w:eastAsia="Arial" w:hAnsi="Arial"/>
                <w:sz w:val="14"/>
                <w:szCs w:val="14"/>
                <w:color w:val="auto"/>
              </w:rPr>
              <w:t>72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Libya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92"/>
        </w:trPr>
        <w:tc>
          <w:tcPr>
            <w:tcW w:w="3600" w:type="dxa"/>
            <w:vAlign w:val="bottom"/>
          </w:tcPr>
          <w:p>
            <w:pPr>
              <w:ind w:left="220"/>
              <w:spacing w:after="0"/>
              <w:rPr>
                <w:sz w:val="20"/>
                <w:szCs w:val="20"/>
                <w:color w:val="auto"/>
              </w:rPr>
            </w:pPr>
            <w:r>
              <w:rPr>
                <w:rFonts w:ascii="Arial" w:cs="Arial" w:eastAsia="Arial" w:hAnsi="Arial"/>
                <w:sz w:val="14"/>
                <w:szCs w:val="14"/>
                <w:color w:val="auto"/>
              </w:rPr>
              <w:t>China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48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23495</wp:posOffset>
            </wp:positionV>
            <wp:extent cx="480060" cy="746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0060" cy="74612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184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182</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164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0" w:type="dxa"/>
            <w:vAlign w:val="bottom"/>
          </w:tcPr>
          <w:p>
            <w:pPr>
              <w:spacing w:after="0"/>
              <w:rPr>
                <w:sz w:val="17"/>
                <w:szCs w:val="17"/>
                <w:color w:val="auto"/>
              </w:rPr>
            </w:pPr>
          </w:p>
        </w:tc>
      </w:tr>
      <w:tr>
        <w:trPr>
          <w:trHeight w:val="194"/>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753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761</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761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20" w:type="dxa"/>
            <w:vAlign w:val="bottom"/>
            <w:shd w:val="clear" w:color="auto" w:fill="CCEEFF"/>
          </w:tcPr>
          <w:p>
            <w:pPr>
              <w:spacing w:after="0"/>
              <w:rPr>
                <w:sz w:val="16"/>
                <w:szCs w:val="16"/>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66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60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7"/>
                <w:szCs w:val="17"/>
                <w:color w:val="auto"/>
              </w:rPr>
            </w:pP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134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6"/>
                <w:szCs w:val="16"/>
                <w:color w:val="auto"/>
              </w:rPr>
            </w:pP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1,144</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1,133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1,166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1,155</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1,146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NGL (MBD)</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28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28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14</w:t>
            </w: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7"/>
                <w:szCs w:val="17"/>
                <w:color w:val="auto"/>
              </w:rPr>
            </w:pPr>
          </w:p>
        </w:tc>
      </w:tr>
      <w:tr>
        <w:trPr>
          <w:trHeight w:val="203"/>
        </w:trPr>
        <w:tc>
          <w:tcPr>
            <w:tcW w:w="328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247</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264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278</w:t>
            </w:r>
          </w:p>
        </w:tc>
        <w:tc>
          <w:tcPr>
            <w:tcW w:w="560" w:type="dxa"/>
            <w:vAlign w:val="bottom"/>
          </w:tcPr>
          <w:p>
            <w:pPr>
              <w:jc w:val="right"/>
              <w:spacing w:after="0"/>
              <w:rPr>
                <w:sz w:val="20"/>
                <w:szCs w:val="20"/>
                <w:color w:val="auto"/>
              </w:rPr>
            </w:pPr>
            <w:r>
              <w:rPr>
                <w:rFonts w:ascii="Arial" w:cs="Arial" w:eastAsia="Arial" w:hAnsi="Arial"/>
                <w:sz w:val="14"/>
                <w:szCs w:val="14"/>
                <w:color w:val="auto"/>
              </w:rPr>
              <w:t>327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20" w:type="dxa"/>
            <w:vAlign w:val="bottom"/>
            <w:shd w:val="clear" w:color="auto" w:fill="CCEEFF"/>
          </w:tcPr>
          <w:p>
            <w:pPr>
              <w:spacing w:after="0"/>
              <w:rPr>
                <w:sz w:val="17"/>
                <w:szCs w:val="17"/>
                <w:color w:val="auto"/>
              </w:rPr>
            </w:pPr>
          </w:p>
        </w:tc>
      </w:tr>
      <w:tr>
        <w:trPr>
          <w:trHeight w:val="203"/>
        </w:trPr>
        <w:tc>
          <w:tcPr>
            <w:tcW w:w="328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7</w:t>
            </w: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7"/>
                <w:szCs w:val="17"/>
                <w:color w:val="auto"/>
              </w:rPr>
            </w:pPr>
          </w:p>
        </w:tc>
      </w:tr>
      <w:tr>
        <w:trPr>
          <w:trHeight w:val="203"/>
        </w:trPr>
        <w:tc>
          <w:tcPr>
            <w:tcW w:w="328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7"/>
                <w:szCs w:val="17"/>
                <w:color w:val="auto"/>
              </w:rPr>
            </w:pPr>
          </w:p>
        </w:tc>
      </w:tr>
      <w:tr>
        <w:trPr>
          <w:trHeight w:val="207"/>
        </w:trPr>
        <w:tc>
          <w:tcPr>
            <w:tcW w:w="32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271</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287</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302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279</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295</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351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0060"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15</w:t>
            </w:r>
          </w:p>
        </w:tc>
        <w:tc>
          <w:tcPr>
            <w:tcW w:w="1320" w:type="dxa"/>
            <w:vAlign w:val="bottom"/>
          </w:tcPr>
          <w:p>
            <w:pPr>
              <w:jc w:val="right"/>
              <w:ind w:right="748"/>
              <w:spacing w:after="0"/>
              <w:rPr>
                <w:sz w:val="20"/>
                <w:szCs w:val="20"/>
                <w:color w:val="auto"/>
              </w:rPr>
            </w:pPr>
            <w:r>
              <w:rPr>
                <w:rFonts w:ascii="Arial" w:cs="Arial" w:eastAsia="Arial" w:hAnsi="Arial"/>
                <w:sz w:val="14"/>
                <w:szCs w:val="14"/>
                <w:color w:val="auto"/>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r>
      <w:tr>
        <w:trPr>
          <w:trHeight w:val="194"/>
        </w:trPr>
        <w:tc>
          <w:tcPr>
            <w:tcW w:w="940" w:type="dxa"/>
            <w:vAlign w:val="bottom"/>
          </w:tcPr>
          <w:p>
            <w:pPr>
              <w:jc w:val="right"/>
              <w:ind w:right="188"/>
              <w:spacing w:after="0"/>
              <w:rPr>
                <w:sz w:val="20"/>
                <w:szCs w:val="20"/>
                <w:color w:val="auto"/>
              </w:rPr>
            </w:pPr>
            <w:r>
              <w:rPr>
                <w:rFonts w:ascii="Arial" w:cs="Arial" w:eastAsia="Arial" w:hAnsi="Arial"/>
                <w:sz w:val="14"/>
                <w:szCs w:val="14"/>
                <w:color w:val="auto"/>
              </w:rPr>
              <w:t>363</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389</w:t>
            </w:r>
          </w:p>
        </w:tc>
        <w:tc>
          <w:tcPr>
            <w:tcW w:w="1320" w:type="dxa"/>
            <w:vAlign w:val="bottom"/>
          </w:tcPr>
          <w:p>
            <w:pPr>
              <w:jc w:val="right"/>
              <w:ind w:right="748"/>
              <w:spacing w:after="0"/>
              <w:rPr>
                <w:sz w:val="20"/>
                <w:szCs w:val="20"/>
                <w:color w:val="auto"/>
              </w:rPr>
            </w:pPr>
            <w:r>
              <w:rPr>
                <w:rFonts w:ascii="Arial" w:cs="Arial" w:eastAsia="Arial" w:hAnsi="Arial"/>
                <w:sz w:val="14"/>
                <w:szCs w:val="14"/>
                <w:color w:val="auto"/>
              </w:rPr>
              <w:t>401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20" w:type="dxa"/>
            <w:vAlign w:val="bottom"/>
            <w:shd w:val="clear" w:color="auto" w:fill="CCEEFF"/>
          </w:tcPr>
          <w:p>
            <w:pPr>
              <w:spacing w:after="0"/>
              <w:rPr>
                <w:sz w:val="16"/>
                <w:szCs w:val="16"/>
                <w:color w:val="auto"/>
              </w:rPr>
            </w:pPr>
          </w:p>
        </w:tc>
      </w:tr>
      <w:tr>
        <w:trPr>
          <w:trHeight w:val="203"/>
        </w:trPr>
        <w:tc>
          <w:tcPr>
            <w:tcW w:w="94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1320" w:type="dxa"/>
            <w:vAlign w:val="bottom"/>
          </w:tcPr>
          <w:p>
            <w:pPr>
              <w:jc w:val="right"/>
              <w:ind w:right="748"/>
              <w:spacing w:after="0"/>
              <w:rPr>
                <w:sz w:val="20"/>
                <w:szCs w:val="20"/>
                <w:color w:val="auto"/>
              </w:rPr>
            </w:pPr>
            <w:r>
              <w:rPr>
                <w:rFonts w:ascii="Arial" w:cs="Arial" w:eastAsia="Arial" w:hAnsi="Arial"/>
                <w:sz w:val="14"/>
                <w:szCs w:val="14"/>
                <w:color w:val="auto"/>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7"/>
                <w:szCs w:val="17"/>
                <w:color w:val="auto"/>
              </w:rPr>
            </w:pPr>
          </w:p>
        </w:tc>
      </w:tr>
      <w:tr>
        <w:trPr>
          <w:trHeight w:val="203"/>
        </w:trPr>
        <w:tc>
          <w:tcPr>
            <w:tcW w:w="94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1320" w:type="dxa"/>
            <w:vAlign w:val="bottom"/>
          </w:tcPr>
          <w:p>
            <w:pPr>
              <w:jc w:val="right"/>
              <w:ind w:right="748"/>
              <w:spacing w:after="0"/>
              <w:rPr>
                <w:sz w:val="20"/>
                <w:szCs w:val="20"/>
                <w:color w:val="auto"/>
              </w:rPr>
            </w:pPr>
            <w:r>
              <w:rPr>
                <w:rFonts w:ascii="Arial" w:cs="Arial" w:eastAsia="Arial" w:hAnsi="Arial"/>
                <w:sz w:val="14"/>
                <w:szCs w:val="14"/>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7"/>
                <w:szCs w:val="17"/>
                <w:color w:val="auto"/>
              </w:rPr>
            </w:pPr>
          </w:p>
        </w:tc>
      </w:tr>
      <w:tr>
        <w:trPr>
          <w:trHeight w:val="207"/>
        </w:trPr>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394</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418</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428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402</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424</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436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351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0060" cy="35179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Bitumen (MBD)</w:t>
            </w:r>
          </w:p>
        </w:tc>
        <w:tc>
          <w:tcPr>
            <w:tcW w:w="1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Canada</w:t>
            </w:r>
          </w:p>
        </w:tc>
        <w:tc>
          <w:tcPr>
            <w:tcW w:w="1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133</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Borders>
              <w:bottom w:val="single" w:sz="8" w:color="auto"/>
            </w:tcBorders>
          </w:tcPr>
          <w:p>
            <w:pPr>
              <w:spacing w:after="0"/>
              <w:rPr>
                <w:sz w:val="17"/>
                <w:szCs w:val="17"/>
                <w:color w:val="auto"/>
              </w:rPr>
            </w:pPr>
          </w:p>
        </w:tc>
      </w:tr>
      <w:tr>
        <w:trPr>
          <w:trHeight w:val="216"/>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133</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144</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 w:type="dxa"/>
            <w:vAlign w:val="bottom"/>
            <w:tcBorders>
              <w:bottom w:val="single" w:sz="8" w:color="auto"/>
            </w:tcBorders>
          </w:tcPr>
          <w:p>
            <w:pPr>
              <w:spacing w:after="0"/>
              <w:rPr>
                <w:sz w:val="17"/>
                <w:szCs w:val="17"/>
                <w:color w:val="auto"/>
              </w:rPr>
            </w:pPr>
          </w:p>
        </w:tc>
      </w:tr>
      <w:tr>
        <w:trPr>
          <w:trHeight w:val="212"/>
        </w:trPr>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144</w:t>
            </w:r>
          </w:p>
        </w:tc>
        <w:tc>
          <w:tcPr>
            <w:tcW w:w="13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2"/>
        </w:trPr>
        <w:tc>
          <w:tcPr>
            <w:tcW w:w="322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37</w:t>
            </w:r>
          </w:p>
        </w:tc>
        <w:tc>
          <w:tcPr>
            <w:tcW w:w="620" w:type="dxa"/>
            <w:vAlign w:val="bottom"/>
          </w:tcPr>
          <w:p>
            <w:pPr>
              <w:jc w:val="right"/>
              <w:spacing w:after="0"/>
              <w:rPr>
                <w:sz w:val="20"/>
                <w:szCs w:val="20"/>
                <w:color w:val="auto"/>
              </w:rPr>
            </w:pPr>
            <w:r>
              <w:rPr>
                <w:rFonts w:ascii="Arial" w:cs="Arial" w:eastAsia="Arial" w:hAnsi="Arial"/>
                <w:sz w:val="14"/>
                <w:szCs w:val="14"/>
                <w:color w:val="auto"/>
              </w:rPr>
              <w:t>41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1,479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1,597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1,596</w:t>
            </w:r>
          </w:p>
        </w:tc>
        <w:tc>
          <w:tcPr>
            <w:tcW w:w="620" w:type="dxa"/>
            <w:vAlign w:val="bottom"/>
          </w:tcPr>
          <w:p>
            <w:pPr>
              <w:jc w:val="right"/>
              <w:spacing w:after="0"/>
              <w:rPr>
                <w:sz w:val="20"/>
                <w:szCs w:val="20"/>
                <w:color w:val="auto"/>
              </w:rPr>
            </w:pPr>
            <w:r>
              <w:rPr>
                <w:rFonts w:ascii="Arial" w:cs="Arial" w:eastAsia="Arial" w:hAnsi="Arial"/>
                <w:sz w:val="14"/>
                <w:szCs w:val="14"/>
                <w:color w:val="auto"/>
              </w:rPr>
              <w:t>1,827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121</w:t>
            </w:r>
          </w:p>
        </w:tc>
        <w:tc>
          <w:tcPr>
            <w:tcW w:w="620" w:type="dxa"/>
            <w:vAlign w:val="bottom"/>
          </w:tcPr>
          <w:p>
            <w:pPr>
              <w:jc w:val="right"/>
              <w:spacing w:after="0"/>
              <w:rPr>
                <w:sz w:val="20"/>
                <w:szCs w:val="20"/>
                <w:color w:val="auto"/>
              </w:rPr>
            </w:pPr>
            <w:r>
              <w:rPr>
                <w:rFonts w:ascii="Arial" w:cs="Arial" w:eastAsia="Arial" w:hAnsi="Arial"/>
                <w:sz w:val="14"/>
                <w:szCs w:val="14"/>
                <w:color w:val="auto"/>
              </w:rPr>
              <w:t>117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329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301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323</w:t>
            </w:r>
          </w:p>
        </w:tc>
        <w:tc>
          <w:tcPr>
            <w:tcW w:w="620" w:type="dxa"/>
            <w:vAlign w:val="bottom"/>
          </w:tcPr>
          <w:p>
            <w:pPr>
              <w:jc w:val="right"/>
              <w:spacing w:after="0"/>
              <w:rPr>
                <w:sz w:val="20"/>
                <w:szCs w:val="20"/>
                <w:color w:val="auto"/>
              </w:rPr>
            </w:pPr>
            <w:r>
              <w:rPr>
                <w:rFonts w:ascii="Arial" w:cs="Arial" w:eastAsia="Arial" w:hAnsi="Arial"/>
                <w:sz w:val="14"/>
                <w:szCs w:val="14"/>
                <w:color w:val="auto"/>
              </w:rPr>
              <w:t>361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Libya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07"/>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96"/>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2,035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2,123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2,149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w:t>
            </w: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1,267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r>
      <w:tr>
        <w:trPr>
          <w:trHeight w:val="21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3,302</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3,370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3,381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480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1"/>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2,080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2,146</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2,198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w:t>
            </w: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109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134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353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302</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324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149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483</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506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2,840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2,855</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2,941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2,879</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1,226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w:t>
            </w:r>
          </w:p>
        </w:tc>
      </w:tr>
      <w:tr>
        <w:trPr>
          <w:trHeight w:val="21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4,070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4,005</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4,167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4,081</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480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Total (MBOED)</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201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182</w:t>
            </w:r>
          </w:p>
        </w:tc>
        <w:tc>
          <w:tcPr>
            <w:tcW w:w="620" w:type="dxa"/>
            <w:vAlign w:val="bottom"/>
          </w:tcPr>
          <w:p>
            <w:pPr>
              <w:jc w:val="right"/>
              <w:spacing w:after="0"/>
              <w:rPr>
                <w:sz w:val="20"/>
                <w:szCs w:val="20"/>
                <w:color w:val="auto"/>
              </w:rPr>
            </w:pPr>
            <w:r>
              <w:rPr>
                <w:rFonts w:ascii="Arial" w:cs="Arial" w:eastAsia="Arial" w:hAnsi="Arial"/>
                <w:sz w:val="14"/>
                <w:szCs w:val="14"/>
                <w:color w:val="auto"/>
              </w:rPr>
              <w:t>202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1,105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1,147</w:t>
            </w:r>
          </w:p>
        </w:tc>
        <w:tc>
          <w:tcPr>
            <w:tcW w:w="620" w:type="dxa"/>
            <w:vAlign w:val="bottom"/>
          </w:tcPr>
          <w:p>
            <w:pPr>
              <w:jc w:val="right"/>
              <w:spacing w:after="0"/>
              <w:rPr>
                <w:sz w:val="20"/>
                <w:szCs w:val="20"/>
                <w:color w:val="auto"/>
              </w:rPr>
            </w:pPr>
            <w:r>
              <w:rPr>
                <w:rFonts w:ascii="Arial" w:cs="Arial" w:eastAsia="Arial" w:hAnsi="Arial"/>
                <w:sz w:val="14"/>
                <w:szCs w:val="14"/>
                <w:color w:val="auto"/>
              </w:rPr>
              <w:t>1,308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20" w:type="dxa"/>
            <w:vAlign w:val="bottom"/>
            <w:shd w:val="clear" w:color="auto" w:fill="CCEEFF"/>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170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129</w:t>
            </w:r>
          </w:p>
        </w:tc>
        <w:tc>
          <w:tcPr>
            <w:tcW w:w="620" w:type="dxa"/>
            <w:vAlign w:val="bottom"/>
          </w:tcPr>
          <w:p>
            <w:pPr>
              <w:jc w:val="right"/>
              <w:spacing w:after="0"/>
              <w:rPr>
                <w:sz w:val="20"/>
                <w:szCs w:val="20"/>
                <w:color w:val="auto"/>
              </w:rPr>
            </w:pPr>
            <w:r>
              <w:rPr>
                <w:rFonts w:ascii="Arial" w:cs="Arial" w:eastAsia="Arial" w:hAnsi="Arial"/>
                <w:sz w:val="14"/>
                <w:szCs w:val="14"/>
                <w:color w:val="auto"/>
              </w:rPr>
              <w:t>180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0" w:type="dxa"/>
            <w:vAlign w:val="bottom"/>
            <w:shd w:val="clear" w:color="auto" w:fill="CCEEFF"/>
          </w:tcPr>
          <w:p>
            <w:pPr>
              <w:spacing w:after="0"/>
              <w:rPr>
                <w:sz w:val="17"/>
                <w:szCs w:val="17"/>
                <w:color w:val="auto"/>
              </w:rPr>
            </w:pP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127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127</w:t>
            </w:r>
          </w:p>
        </w:tc>
        <w:tc>
          <w:tcPr>
            <w:tcW w:w="620" w:type="dxa"/>
            <w:vAlign w:val="bottom"/>
          </w:tcPr>
          <w:p>
            <w:pPr>
              <w:jc w:val="right"/>
              <w:spacing w:after="0"/>
              <w:rPr>
                <w:sz w:val="20"/>
                <w:szCs w:val="20"/>
                <w:color w:val="auto"/>
              </w:rPr>
            </w:pPr>
            <w:r>
              <w:rPr>
                <w:rFonts w:ascii="Arial" w:cs="Arial" w:eastAsia="Arial" w:hAnsi="Arial"/>
                <w:sz w:val="14"/>
                <w:szCs w:val="14"/>
                <w:color w:val="auto"/>
              </w:rPr>
              <w:t>136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 w:type="dxa"/>
            <w:vAlign w:val="bottom"/>
            <w:shd w:val="clear" w:color="auto" w:fill="CCEEFF"/>
          </w:tcPr>
          <w:p>
            <w:pPr>
              <w:spacing w:after="0"/>
              <w:rPr>
                <w:sz w:val="17"/>
                <w:szCs w:val="17"/>
                <w:color w:val="auto"/>
              </w:rPr>
            </w:pP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Libya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shd w:val="clear" w:color="auto" w:fill="CCEEFF"/>
          </w:tcPr>
          <w:p>
            <w:pPr>
              <w:spacing w:after="0"/>
              <w:rPr>
                <w:sz w:val="17"/>
                <w:szCs w:val="17"/>
                <w:color w:val="auto"/>
              </w:rPr>
            </w:pPr>
          </w:p>
        </w:tc>
      </w:tr>
      <w:tr>
        <w:trPr>
          <w:trHeight w:val="206"/>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220" w:type="dxa"/>
            <w:vAlign w:val="bottom"/>
          </w:tcPr>
          <w:p>
            <w:pPr>
              <w:ind w:left="220"/>
              <w:spacing w:after="0"/>
              <w:rPr>
                <w:sz w:val="20"/>
                <w:szCs w:val="20"/>
                <w:color w:val="auto"/>
              </w:rPr>
            </w:pPr>
            <w:r>
              <w:rPr>
                <w:rFonts w:ascii="Arial" w:cs="Arial" w:eastAsia="Arial" w:hAnsi="Arial"/>
                <w:sz w:val="14"/>
                <w:szCs w:val="14"/>
                <w:color w:val="auto"/>
              </w:rPr>
              <w:t>China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6"/>
                <w:szCs w:val="16"/>
                <w:color w:val="auto"/>
              </w:rPr>
            </w:pPr>
          </w:p>
        </w:tc>
      </w:tr>
      <w:tr>
        <w:trPr>
          <w:trHeight w:val="206"/>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1,667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1,716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1,902</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1,945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208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205</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182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20" w:type="dxa"/>
            <w:vAlign w:val="bottom"/>
          </w:tcPr>
          <w:p>
            <w:pPr>
              <w:spacing w:after="0"/>
              <w:rPr>
                <w:sz w:val="17"/>
                <w:szCs w:val="17"/>
                <w:color w:val="auto"/>
              </w:rPr>
            </w:pPr>
          </w:p>
        </w:tc>
      </w:tr>
      <w:tr>
        <w:trPr>
          <w:trHeight w:val="195"/>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1,462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1,508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1,528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20" w:type="dxa"/>
            <w:vAlign w:val="bottom"/>
            <w:shd w:val="clear" w:color="auto" w:fill="CCEEFF"/>
          </w:tcPr>
          <w:p>
            <w:pPr>
              <w:spacing w:after="0"/>
              <w:rPr>
                <w:sz w:val="16"/>
                <w:szCs w:val="16"/>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184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191</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169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131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107</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66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 w:type="dxa"/>
            <w:vAlign w:val="bottom"/>
            <w:shd w:val="clear" w:color="auto" w:fill="CCEEFF"/>
          </w:tcPr>
          <w:p>
            <w:pPr>
              <w:spacing w:after="0"/>
              <w:rPr>
                <w:sz w:val="17"/>
                <w:szCs w:val="17"/>
                <w:color w:val="auto"/>
              </w:rPr>
            </w:pPr>
          </w:p>
        </w:tc>
      </w:tr>
      <w:tr>
        <w:trPr>
          <w:trHeight w:val="20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38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208</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227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6"/>
                <w:szCs w:val="16"/>
                <w:color w:val="auto"/>
              </w:rPr>
            </w:pPr>
          </w:p>
        </w:tc>
      </w:tr>
      <w:tr>
        <w:trPr>
          <w:trHeight w:val="20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36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2,163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2,182</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2,174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209</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2,389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2,399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2,393</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2">
            <w:col w:w="7380" w:space="80"/>
            <w:col w:w="3780"/>
          </w:cols>
          <w:pgMar w:left="320" w:top="1143" w:right="339" w:bottom="1440" w:gutter="0" w:footer="0" w:header="0"/>
          <w:type w:val="continuous"/>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AVERAGE REALIZED PRICES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Crude Oil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Alaska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83.59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86.44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81.32</w:t>
            </w:r>
          </w:p>
        </w:tc>
        <w:tc>
          <w:tcPr>
            <w:tcW w:w="720" w:type="dxa"/>
            <w:vAlign w:val="bottom"/>
          </w:tcPr>
          <w:p>
            <w:pPr>
              <w:jc w:val="right"/>
              <w:spacing w:after="0"/>
              <w:rPr>
                <w:sz w:val="20"/>
                <w:szCs w:val="20"/>
                <w:color w:val="auto"/>
              </w:rPr>
            </w:pPr>
            <w:r>
              <w:rPr>
                <w:rFonts w:ascii="Arial" w:cs="Arial" w:eastAsia="Arial" w:hAnsi="Arial"/>
                <w:sz w:val="14"/>
                <w:szCs w:val="14"/>
                <w:color w:val="auto"/>
              </w:rPr>
              <w:t>75.88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81.73</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Lower 48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75.51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78.72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74.73</w:t>
            </w:r>
          </w:p>
        </w:tc>
        <w:tc>
          <w:tcPr>
            <w:tcW w:w="720" w:type="dxa"/>
            <w:vAlign w:val="bottom"/>
          </w:tcPr>
          <w:p>
            <w:pPr>
              <w:jc w:val="right"/>
              <w:spacing w:after="0"/>
              <w:rPr>
                <w:sz w:val="20"/>
                <w:szCs w:val="20"/>
                <w:color w:val="auto"/>
              </w:rPr>
            </w:pPr>
            <w:r>
              <w:rPr>
                <w:rFonts w:ascii="Arial" w:cs="Arial" w:eastAsia="Arial" w:hAnsi="Arial"/>
                <w:sz w:val="14"/>
                <w:szCs w:val="14"/>
                <w:color w:val="auto"/>
              </w:rPr>
              <w:t>68.74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Canada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64.40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68.90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61.99</w:t>
            </w:r>
          </w:p>
        </w:tc>
        <w:tc>
          <w:tcPr>
            <w:tcW w:w="720" w:type="dxa"/>
            <w:vAlign w:val="bottom"/>
          </w:tcPr>
          <w:p>
            <w:pPr>
              <w:jc w:val="right"/>
              <w:spacing w:after="0"/>
              <w:rPr>
                <w:sz w:val="20"/>
                <w:szCs w:val="20"/>
                <w:color w:val="auto"/>
              </w:rPr>
            </w:pPr>
            <w:r>
              <w:rPr>
                <w:rFonts w:ascii="Arial" w:cs="Arial" w:eastAsia="Arial" w:hAnsi="Arial"/>
                <w:sz w:val="14"/>
                <w:szCs w:val="14"/>
                <w:color w:val="auto"/>
              </w:rPr>
              <w:t>62.49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64.47</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Norway</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85.36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83.96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79.75</w:t>
            </w:r>
          </w:p>
        </w:tc>
        <w:tc>
          <w:tcPr>
            <w:tcW w:w="720" w:type="dxa"/>
            <w:vAlign w:val="bottom"/>
          </w:tcPr>
          <w:p>
            <w:pPr>
              <w:jc w:val="right"/>
              <w:spacing w:after="0"/>
              <w:rPr>
                <w:sz w:val="20"/>
                <w:szCs w:val="20"/>
                <w:color w:val="auto"/>
              </w:rPr>
            </w:pPr>
            <w:r>
              <w:rPr>
                <w:rFonts w:ascii="Arial" w:cs="Arial" w:eastAsia="Arial" w:hAnsi="Arial"/>
                <w:sz w:val="14"/>
                <w:szCs w:val="14"/>
                <w:color w:val="auto"/>
              </w:rPr>
              <w:t>76.44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81.09</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Libya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84.11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85.44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83.48</w:t>
            </w:r>
          </w:p>
        </w:tc>
        <w:tc>
          <w:tcPr>
            <w:tcW w:w="720" w:type="dxa"/>
            <w:vAlign w:val="bottom"/>
          </w:tcPr>
          <w:p>
            <w:pPr>
              <w:jc w:val="right"/>
              <w:spacing w:after="0"/>
              <w:rPr>
                <w:sz w:val="20"/>
                <w:szCs w:val="20"/>
                <w:color w:val="auto"/>
              </w:rPr>
            </w:pPr>
            <w:r>
              <w:rPr>
                <w:rFonts w:ascii="Arial" w:cs="Arial" w:eastAsia="Arial" w:hAnsi="Arial"/>
                <w:sz w:val="14"/>
                <w:szCs w:val="14"/>
                <w:color w:val="auto"/>
              </w:rPr>
              <w:t>72.92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81.08</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60.01</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84.83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80.88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80.92</w:t>
            </w:r>
          </w:p>
        </w:tc>
      </w:tr>
      <w:tr>
        <w:trPr>
          <w:trHeight w:val="192"/>
        </w:trPr>
        <w:tc>
          <w:tcPr>
            <w:tcW w:w="3600" w:type="dxa"/>
            <w:vAlign w:val="bottom"/>
          </w:tcPr>
          <w:p>
            <w:pPr>
              <w:ind w:left="220"/>
              <w:spacing w:after="0"/>
              <w:rPr>
                <w:sz w:val="20"/>
                <w:szCs w:val="20"/>
                <w:color w:val="auto"/>
              </w:rPr>
            </w:pPr>
            <w:r>
              <w:rPr>
                <w:rFonts w:ascii="Arial" w:cs="Arial" w:eastAsia="Arial" w:hAnsi="Arial"/>
                <w:sz w:val="14"/>
                <w:szCs w:val="14"/>
                <w:color w:val="auto"/>
              </w:rPr>
              <w:t>China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80.59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82.16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77.78</w:t>
            </w:r>
          </w:p>
        </w:tc>
        <w:tc>
          <w:tcPr>
            <w:tcW w:w="720" w:type="dxa"/>
            <w:vAlign w:val="bottom"/>
          </w:tcPr>
          <w:p>
            <w:pPr>
              <w:jc w:val="right"/>
              <w:spacing w:after="0"/>
              <w:rPr>
                <w:sz w:val="20"/>
                <w:szCs w:val="20"/>
                <w:color w:val="auto"/>
              </w:rPr>
            </w:pPr>
            <w:r>
              <w:rPr>
                <w:rFonts w:ascii="Arial" w:cs="Arial" w:eastAsia="Arial" w:hAnsi="Arial"/>
                <w:sz w:val="14"/>
                <w:szCs w:val="14"/>
                <w:color w:val="auto"/>
              </w:rPr>
              <w:t>73.36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78.67</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87.06</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85.05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80.84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82.42</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76.78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76.74</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76.76</w:t>
            </w:r>
          </w:p>
        </w:tc>
      </w:tr>
      <w:tr>
        <w:trPr>
          <w:trHeight w:val="21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76.77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76.74</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23495</wp:posOffset>
            </wp:positionV>
            <wp:extent cx="480060" cy="746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0060" cy="74612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76.58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70.87</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72.72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20" w:type="dxa"/>
            <w:vAlign w:val="bottom"/>
          </w:tcPr>
          <w:p>
            <w:pPr>
              <w:spacing w:after="0"/>
              <w:rPr>
                <w:sz w:val="17"/>
                <w:szCs w:val="17"/>
                <w:color w:val="auto"/>
              </w:rPr>
            </w:pPr>
          </w:p>
        </w:tc>
      </w:tr>
      <w:tr>
        <w:trPr>
          <w:trHeight w:val="194"/>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69.47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61.90</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63.71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64.96</w:t>
            </w:r>
          </w:p>
        </w:tc>
        <w:tc>
          <w:tcPr>
            <w:tcW w:w="20" w:type="dxa"/>
            <w:vAlign w:val="bottom"/>
            <w:shd w:val="clear" w:color="auto" w:fill="CCEEFF"/>
          </w:tcPr>
          <w:p>
            <w:pPr>
              <w:spacing w:after="0"/>
              <w:rPr>
                <w:sz w:val="16"/>
                <w:szCs w:val="16"/>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62.41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55.48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55.80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57.73</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75.80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68.78</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70.89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20" w:type="dxa"/>
            <w:vAlign w:val="bottom"/>
            <w:shd w:val="clear" w:color="auto" w:fill="CCEEFF"/>
          </w:tcPr>
          <w:p>
            <w:pPr>
              <w:spacing w:after="0"/>
              <w:rPr>
                <w:sz w:val="17"/>
                <w:szCs w:val="17"/>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75.45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68.59</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70.10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71.58</w:t>
            </w:r>
          </w:p>
        </w:tc>
        <w:tc>
          <w:tcPr>
            <w:tcW w:w="20" w:type="dxa"/>
            <w:vAlign w:val="bottom"/>
            <w:shd w:val="clear" w:color="auto" w:fill="CCEEFF"/>
          </w:tcPr>
          <w:p>
            <w:pPr>
              <w:spacing w:after="0"/>
              <w:rPr>
                <w:sz w:val="17"/>
                <w:szCs w:val="17"/>
                <w:color w:val="auto"/>
              </w:rPr>
            </w:pP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59.91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52.66</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43.47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74.60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67.48</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69.46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74.65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68.03</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70.05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70.89</w:t>
            </w:r>
          </w:p>
        </w:tc>
        <w:tc>
          <w:tcPr>
            <w:tcW w:w="20" w:type="dxa"/>
            <w:vAlign w:val="bottom"/>
            <w:shd w:val="clear" w:color="auto" w:fill="CCEEFF"/>
          </w:tcPr>
          <w:p>
            <w:pPr>
              <w:spacing w:after="0"/>
              <w:rPr>
                <w:sz w:val="16"/>
                <w:szCs w:val="16"/>
                <w:color w:val="auto"/>
              </w:rPr>
            </w:pP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79.69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71.54</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73.95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76.64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69.65</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71.72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71.61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64.21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66.12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75.57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65.87</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67.56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69.85</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71.65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64.23</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66.13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480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NGL ($/BBL)</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22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22.67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21.57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20.64</w:t>
            </w:r>
          </w:p>
        </w:tc>
        <w:tc>
          <w:tcPr>
            <w:tcW w:w="620" w:type="dxa"/>
            <w:vAlign w:val="bottom"/>
          </w:tcPr>
          <w:p>
            <w:pPr>
              <w:jc w:val="right"/>
              <w:spacing w:after="0"/>
              <w:rPr>
                <w:sz w:val="20"/>
                <w:szCs w:val="20"/>
                <w:color w:val="auto"/>
              </w:rPr>
            </w:pPr>
            <w:r>
              <w:rPr>
                <w:rFonts w:ascii="Arial" w:cs="Arial" w:eastAsia="Arial" w:hAnsi="Arial"/>
                <w:sz w:val="14"/>
                <w:szCs w:val="14"/>
                <w:color w:val="auto"/>
              </w:rPr>
              <w:t>23.09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w:t>
            </w: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35.47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27.01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28.11</w:t>
            </w:r>
          </w:p>
        </w:tc>
        <w:tc>
          <w:tcPr>
            <w:tcW w:w="620" w:type="dxa"/>
            <w:vAlign w:val="bottom"/>
          </w:tcPr>
          <w:p>
            <w:pPr>
              <w:jc w:val="right"/>
              <w:spacing w:after="0"/>
              <w:rPr>
                <w:sz w:val="20"/>
                <w:szCs w:val="20"/>
                <w:color w:val="auto"/>
              </w:rPr>
            </w:pPr>
            <w:r>
              <w:rPr>
                <w:rFonts w:ascii="Arial" w:cs="Arial" w:eastAsia="Arial" w:hAnsi="Arial"/>
                <w:sz w:val="14"/>
                <w:szCs w:val="14"/>
                <w:color w:val="auto"/>
              </w:rPr>
              <w:t>27.97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20" w:type="dxa"/>
            <w:vAlign w:val="bottom"/>
            <w:shd w:val="clear" w:color="auto" w:fill="CCEEFF"/>
          </w:tcPr>
          <w:p>
            <w:pPr>
              <w:spacing w:after="0"/>
              <w:rPr>
                <w:sz w:val="17"/>
                <w:szCs w:val="17"/>
                <w:color w:val="auto"/>
              </w:rPr>
            </w:pP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46.32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39.60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46.08</w:t>
            </w:r>
          </w:p>
        </w:tc>
        <w:tc>
          <w:tcPr>
            <w:tcW w:w="620" w:type="dxa"/>
            <w:vAlign w:val="bottom"/>
          </w:tcPr>
          <w:p>
            <w:pPr>
              <w:jc w:val="right"/>
              <w:spacing w:after="0"/>
              <w:rPr>
                <w:sz w:val="20"/>
                <w:szCs w:val="20"/>
                <w:color w:val="auto"/>
              </w:rPr>
            </w:pPr>
            <w:r>
              <w:rPr>
                <w:rFonts w:ascii="Arial" w:cs="Arial" w:eastAsia="Arial" w:hAnsi="Arial"/>
                <w:sz w:val="14"/>
                <w:szCs w:val="14"/>
                <w:color w:val="auto"/>
              </w:rPr>
              <w:t>47.56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20" w:type="dxa"/>
            <w:vAlign w:val="bottom"/>
            <w:shd w:val="clear" w:color="auto" w:fill="CCEEFF"/>
          </w:tcPr>
          <w:p>
            <w:pPr>
              <w:spacing w:after="0"/>
              <w:rPr>
                <w:sz w:val="17"/>
                <w:szCs w:val="17"/>
                <w:color w:val="auto"/>
              </w:rPr>
            </w:pPr>
          </w:p>
        </w:tc>
      </w:tr>
      <w:tr>
        <w:trPr>
          <w:trHeight w:val="207"/>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46.32</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39.60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46.08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40.29</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23.35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21.84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21.16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52.09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49.83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49.91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24.25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22.60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21.93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3517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0060"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24.84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20.52</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18.81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20" w:type="dxa"/>
            <w:vAlign w:val="bottom"/>
          </w:tcPr>
          <w:p>
            <w:pPr>
              <w:spacing w:after="0"/>
              <w:rPr>
                <w:sz w:val="17"/>
                <w:szCs w:val="17"/>
                <w:color w:val="auto"/>
              </w:rPr>
            </w:pPr>
          </w:p>
        </w:tc>
      </w:tr>
      <w:tr>
        <w:trPr>
          <w:trHeight w:val="194"/>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27.96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20.63</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20.98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20" w:type="dxa"/>
            <w:vAlign w:val="bottom"/>
            <w:shd w:val="clear" w:color="auto" w:fill="CCEEFF"/>
          </w:tcPr>
          <w:p>
            <w:pPr>
              <w:spacing w:after="0"/>
              <w:rPr>
                <w:sz w:val="16"/>
                <w:szCs w:val="16"/>
                <w:color w:val="auto"/>
              </w:rPr>
            </w:pP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45.58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39.02</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39.00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20" w:type="dxa"/>
            <w:vAlign w:val="bottom"/>
            <w:shd w:val="clear" w:color="auto" w:fill="CCEEFF"/>
          </w:tcPr>
          <w:p>
            <w:pPr>
              <w:spacing w:after="0"/>
              <w:rPr>
                <w:sz w:val="17"/>
                <w:szCs w:val="17"/>
                <w:color w:val="auto"/>
              </w:rPr>
            </w:pP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23.76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20.24</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10.09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20.51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18.71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52.34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48.93</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44.39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25.40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20.98</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19.20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351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0060" cy="35179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Bitumen ($/BBL)</w:t>
            </w:r>
          </w:p>
        </w:tc>
        <w:tc>
          <w:tcPr>
            <w:tcW w:w="1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Canada</w:t>
            </w:r>
          </w:p>
        </w:tc>
        <w:tc>
          <w:tcPr>
            <w:tcW w:w="1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44.30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54.59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47.32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20" w:type="dxa"/>
            <w:vAlign w:val="bottom"/>
            <w:tcBorders>
              <w:bottom w:val="single" w:sz="8" w:color="auto"/>
            </w:tcBorders>
          </w:tcPr>
          <w:p>
            <w:pPr>
              <w:spacing w:after="0"/>
              <w:rPr>
                <w:sz w:val="17"/>
                <w:szCs w:val="17"/>
                <w:color w:val="auto"/>
              </w:rPr>
            </w:pPr>
          </w:p>
        </w:tc>
      </w:tr>
      <w:tr>
        <w:trPr>
          <w:trHeight w:val="216"/>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44.30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54.59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47.32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39.43</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41.58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w:t>
            </w:r>
          </w:p>
        </w:tc>
        <w:tc>
          <w:tcPr>
            <w:tcW w:w="20" w:type="dxa"/>
            <w:vAlign w:val="bottom"/>
            <w:tcBorders>
              <w:bottom w:val="single" w:sz="8" w:color="auto"/>
            </w:tcBorders>
          </w:tcPr>
          <w:p>
            <w:pPr>
              <w:spacing w:after="0"/>
              <w:rPr>
                <w:sz w:val="17"/>
                <w:szCs w:val="17"/>
                <w:color w:val="auto"/>
              </w:rPr>
            </w:pPr>
          </w:p>
        </w:tc>
      </w:tr>
      <w:tr>
        <w:trPr>
          <w:trHeight w:val="212"/>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39.43</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41.58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Natural Gas ($/MCF)</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26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26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3.91</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4.03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3.98</w:t>
            </w:r>
          </w:p>
        </w:tc>
        <w:tc>
          <w:tcPr>
            <w:tcW w:w="620" w:type="dxa"/>
            <w:vAlign w:val="bottom"/>
          </w:tcPr>
          <w:p>
            <w:pPr>
              <w:jc w:val="right"/>
              <w:spacing w:after="0"/>
              <w:rPr>
                <w:sz w:val="20"/>
                <w:szCs w:val="20"/>
                <w:color w:val="auto"/>
              </w:rPr>
            </w:pPr>
            <w:r>
              <w:rPr>
                <w:rFonts w:ascii="Arial" w:cs="Arial" w:eastAsia="Arial" w:hAnsi="Arial"/>
                <w:sz w:val="14"/>
                <w:szCs w:val="14"/>
                <w:color w:val="auto"/>
              </w:rPr>
              <w:t>3.75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r>
      <w:tr>
        <w:trPr>
          <w:trHeight w:val="203"/>
        </w:trPr>
        <w:tc>
          <w:tcPr>
            <w:tcW w:w="326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1.57</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0.32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0.18</w:t>
            </w:r>
          </w:p>
        </w:tc>
        <w:tc>
          <w:tcPr>
            <w:tcW w:w="620" w:type="dxa"/>
            <w:vAlign w:val="bottom"/>
          </w:tcPr>
          <w:p>
            <w:pPr>
              <w:jc w:val="right"/>
              <w:spacing w:after="0"/>
              <w:rPr>
                <w:sz w:val="20"/>
                <w:szCs w:val="20"/>
                <w:color w:val="auto"/>
              </w:rPr>
            </w:pPr>
            <w:r>
              <w:rPr>
                <w:rFonts w:ascii="Arial" w:cs="Arial" w:eastAsia="Arial" w:hAnsi="Arial"/>
                <w:sz w:val="14"/>
                <w:szCs w:val="14"/>
                <w:color w:val="auto"/>
              </w:rPr>
              <w:t>1.39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0.87</w:t>
            </w:r>
          </w:p>
        </w:tc>
      </w:tr>
      <w:tr>
        <w:trPr>
          <w:trHeight w:val="203"/>
        </w:trPr>
        <w:tc>
          <w:tcPr>
            <w:tcW w:w="326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1.01</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0.36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0.10</w:t>
            </w:r>
          </w:p>
        </w:tc>
        <w:tc>
          <w:tcPr>
            <w:tcW w:w="620" w:type="dxa"/>
            <w:vAlign w:val="bottom"/>
          </w:tcPr>
          <w:p>
            <w:pPr>
              <w:jc w:val="right"/>
              <w:spacing w:after="0"/>
              <w:rPr>
                <w:sz w:val="20"/>
                <w:szCs w:val="20"/>
                <w:color w:val="auto"/>
              </w:rPr>
            </w:pPr>
            <w:r>
              <w:rPr>
                <w:rFonts w:ascii="Arial" w:cs="Arial" w:eastAsia="Arial" w:hAnsi="Arial"/>
                <w:sz w:val="14"/>
                <w:szCs w:val="14"/>
                <w:color w:val="auto"/>
              </w:rPr>
              <w:t>0.80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r>
      <w:tr>
        <w:trPr>
          <w:trHeight w:val="202"/>
        </w:trPr>
        <w:tc>
          <w:tcPr>
            <w:tcW w:w="326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9.02</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9.89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11.19</w:t>
            </w:r>
          </w:p>
        </w:tc>
        <w:tc>
          <w:tcPr>
            <w:tcW w:w="620" w:type="dxa"/>
            <w:vAlign w:val="bottom"/>
          </w:tcPr>
          <w:p>
            <w:pPr>
              <w:jc w:val="right"/>
              <w:spacing w:after="0"/>
              <w:rPr>
                <w:sz w:val="20"/>
                <w:szCs w:val="20"/>
                <w:color w:val="auto"/>
              </w:rPr>
            </w:pPr>
            <w:r>
              <w:rPr>
                <w:rFonts w:ascii="Arial" w:cs="Arial" w:eastAsia="Arial" w:hAnsi="Arial"/>
                <w:sz w:val="14"/>
                <w:szCs w:val="14"/>
                <w:color w:val="auto"/>
              </w:rPr>
              <w:t>13.96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r>
      <w:tr>
        <w:trPr>
          <w:trHeight w:val="203"/>
        </w:trPr>
        <w:tc>
          <w:tcPr>
            <w:tcW w:w="3260" w:type="dxa"/>
            <w:vAlign w:val="bottom"/>
          </w:tcPr>
          <w:p>
            <w:pPr>
              <w:ind w:left="220"/>
              <w:spacing w:after="0"/>
              <w:rPr>
                <w:sz w:val="20"/>
                <w:szCs w:val="20"/>
                <w:color w:val="auto"/>
              </w:rPr>
            </w:pPr>
            <w:r>
              <w:rPr>
                <w:rFonts w:ascii="Arial" w:cs="Arial" w:eastAsia="Arial" w:hAnsi="Arial"/>
                <w:sz w:val="14"/>
                <w:szCs w:val="14"/>
                <w:color w:val="auto"/>
              </w:rPr>
              <w:t>Libya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6.39</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6.23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6.05</w:t>
            </w:r>
          </w:p>
        </w:tc>
        <w:tc>
          <w:tcPr>
            <w:tcW w:w="620" w:type="dxa"/>
            <w:vAlign w:val="bottom"/>
          </w:tcPr>
          <w:p>
            <w:pPr>
              <w:jc w:val="right"/>
              <w:spacing w:after="0"/>
              <w:rPr>
                <w:sz w:val="20"/>
                <w:szCs w:val="20"/>
                <w:color w:val="auto"/>
              </w:rPr>
            </w:pPr>
            <w:r>
              <w:rPr>
                <w:rFonts w:ascii="Arial" w:cs="Arial" w:eastAsia="Arial" w:hAnsi="Arial"/>
                <w:sz w:val="14"/>
                <w:szCs w:val="14"/>
                <w:color w:val="auto"/>
              </w:rPr>
              <w:t>6.11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207"/>
        </w:trPr>
        <w:tc>
          <w:tcPr>
            <w:tcW w:w="32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r>
      <w:tr>
        <w:trPr>
          <w:trHeight w:val="196"/>
        </w:trPr>
        <w:tc>
          <w:tcPr>
            <w:tcW w:w="3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8.81</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10.76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r>
      <w:tr>
        <w:trPr>
          <w:trHeight w:val="196"/>
        </w:trPr>
        <w:tc>
          <w:tcPr>
            <w:tcW w:w="32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3.68</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96"/>
        </w:trPr>
        <w:tc>
          <w:tcPr>
            <w:tcW w:w="3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3.68</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96"/>
        </w:trPr>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2.91</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96"/>
        </w:trPr>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8.26</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8.41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r>
      <w:tr>
        <w:trPr>
          <w:trHeight w:val="192"/>
        </w:trPr>
        <w:tc>
          <w:tcPr>
            <w:tcW w:w="3260" w:type="dxa"/>
            <w:vAlign w:val="bottom"/>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5.02</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4.22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4.42</w:t>
            </w:r>
          </w:p>
        </w:tc>
        <w:tc>
          <w:tcPr>
            <w:tcW w:w="620" w:type="dxa"/>
            <w:vAlign w:val="bottom"/>
          </w:tcPr>
          <w:p>
            <w:pPr>
              <w:jc w:val="right"/>
              <w:spacing w:after="0"/>
              <w:rPr>
                <w:sz w:val="20"/>
                <w:szCs w:val="20"/>
                <w:color w:val="auto"/>
              </w:rPr>
            </w:pPr>
            <w:r>
              <w:rPr>
                <w:rFonts w:ascii="Arial" w:cs="Arial" w:eastAsia="Arial" w:hAnsi="Arial"/>
                <w:sz w:val="14"/>
                <w:szCs w:val="14"/>
                <w:color w:val="auto"/>
              </w:rPr>
              <w:t>5.12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r>
      <w:tr>
        <w:trPr>
          <w:trHeight w:val="35"/>
        </w:trPr>
        <w:tc>
          <w:tcPr>
            <w:tcW w:w="3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1"/>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3.87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3.80</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3.86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2.65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1.60</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1.62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0.71</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0.37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r>
      <w:tr>
        <w:trPr>
          <w:trHeight w:val="202"/>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14.86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11.65</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11.22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r>
      <w:tr>
        <w:trPr>
          <w:trHeight w:val="203"/>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5.68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5.64</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4.98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207"/>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11.10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9.50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13.16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10.21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10.31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3.60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3.70</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3.60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2.99</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3.11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96"/>
        </w:trPr>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6.91</w:t>
            </w:r>
          </w:p>
        </w:tc>
        <w:tc>
          <w:tcPr>
            <w:tcW w:w="13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7.00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w:t>
            </w:r>
          </w:p>
        </w:tc>
      </w:tr>
      <w:tr>
        <w:trPr>
          <w:trHeight w:val="192"/>
        </w:trPr>
        <w:tc>
          <w:tcPr>
            <w:tcW w:w="880" w:type="dxa"/>
            <w:vAlign w:val="bottom"/>
          </w:tcPr>
          <w:p>
            <w:pPr>
              <w:jc w:val="right"/>
              <w:ind w:right="128"/>
              <w:spacing w:after="0"/>
              <w:rPr>
                <w:sz w:val="20"/>
                <w:szCs w:val="20"/>
                <w:color w:val="auto"/>
              </w:rPr>
            </w:pPr>
            <w:r>
              <w:rPr>
                <w:rFonts w:ascii="Arial" w:cs="Arial" w:eastAsia="Arial" w:hAnsi="Arial"/>
                <w:sz w:val="14"/>
                <w:szCs w:val="14"/>
                <w:color w:val="auto"/>
              </w:rPr>
              <w:t>5.62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4.16</w:t>
            </w:r>
          </w:p>
        </w:tc>
        <w:tc>
          <w:tcPr>
            <w:tcW w:w="1380" w:type="dxa"/>
            <w:vAlign w:val="bottom"/>
          </w:tcPr>
          <w:p>
            <w:pPr>
              <w:jc w:val="right"/>
              <w:ind w:right="748"/>
              <w:spacing w:after="0"/>
              <w:rPr>
                <w:sz w:val="20"/>
                <w:szCs w:val="20"/>
                <w:color w:val="auto"/>
              </w:rPr>
            </w:pPr>
            <w:r>
              <w:rPr>
                <w:rFonts w:ascii="Arial" w:cs="Arial" w:eastAsia="Arial" w:hAnsi="Arial"/>
                <w:sz w:val="14"/>
                <w:szCs w:val="14"/>
                <w:color w:val="auto"/>
              </w:rPr>
              <w:t>4.28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r>
      <w:tr>
        <w:trPr>
          <w:trHeight w:val="35"/>
        </w:trPr>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ectPr>
          <w:pgSz w:w="11900" w:h="16838" w:orient="portrait"/>
          <w:cols w:equalWidth="0" w:num="2">
            <w:col w:w="7380" w:space="80"/>
            <w:col w:w="3780"/>
          </w:cols>
          <w:pgMar w:left="320" w:top="1143" w:right="339" w:bottom="1440" w:gutter="0" w:footer="0" w:header="0"/>
          <w:type w:val="continuous"/>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0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2nd Qtr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3rd Qtr</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4th Qtr</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Full Year</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2nd Qtr</w:t>
            </w: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3rd Qtr   4th Qtr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4"/>
                <w:szCs w:val="14"/>
                <w:b w:val="1"/>
                <w:bCs w:val="1"/>
                <w:color w:val="0000FF"/>
              </w:rPr>
              <w:t>CORPORATE AND OTHER</w:t>
            </w:r>
          </w:p>
        </w:tc>
        <w:tc>
          <w:tcPr>
            <w:tcW w:w="7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Corporate and Other Earnings (Loss)</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(171)</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(249)</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(228)</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(232)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(880)</w:t>
            </w:r>
          </w:p>
        </w:tc>
        <w:tc>
          <w:tcPr>
            <w:tcW w:w="80" w:type="dxa"/>
            <w:vAlign w:val="bottom"/>
          </w:tcPr>
          <w:p>
            <w:pPr>
              <w:spacing w:after="0"/>
              <w:rPr>
                <w:sz w:val="24"/>
                <w:szCs w:val="2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(256)</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(280)</w:t>
            </w:r>
          </w:p>
        </w:tc>
        <w:tc>
          <w:tcPr>
            <w:tcW w:w="1380" w:type="dxa"/>
            <w:vAlign w:val="bottom"/>
            <w:vMerge w:val="restart"/>
          </w:tcPr>
          <w:p>
            <w:pPr>
              <w:jc w:val="right"/>
              <w:ind w:right="708"/>
              <w:spacing w:after="0"/>
              <w:rPr>
                <w:sz w:val="20"/>
                <w:szCs w:val="20"/>
                <w:color w:val="auto"/>
              </w:rPr>
            </w:pPr>
            <w:r>
              <w:rPr>
                <w:rFonts w:ascii="Arial" w:cs="Arial" w:eastAsia="Arial" w:hAnsi="Arial"/>
                <w:sz w:val="14"/>
                <w:szCs w:val="14"/>
                <w:color w:val="auto"/>
              </w:rPr>
              <w:t>(472)</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8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Millions)</w:t>
            </w:r>
          </w:p>
        </w:tc>
        <w:tc>
          <w:tcPr>
            <w:tcW w:w="7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-608330</wp:posOffset>
            </wp:positionV>
            <wp:extent cx="480060" cy="1122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0060" cy="112268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-608330</wp:posOffset>
            </wp:positionV>
            <wp:extent cx="480060" cy="1122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060" cy="1122680"/>
                    </a:xfrm>
                    <a:prstGeom prst="rect">
                      <a:avLst/>
                    </a:prstGeom>
                    <a:noFill/>
                  </pic:spPr>
                </pic:pic>
              </a:graphicData>
            </a:graphic>
          </wp:anchor>
        </w:drawing>
      </w:r>
    </w:p>
    <w:p>
      <w:pPr>
        <w:sectPr>
          <w:pgSz w:w="11900" w:h="16838" w:orient="portrait"/>
          <w:cols w:equalWidth="0" w:num="1">
            <w:col w:w="10140"/>
          </w:cols>
          <w:pgMar w:left="320" w:top="1143" w:right="1439" w:bottom="1440" w:gutter="0" w:footer="0" w:header="0"/>
        </w:sect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Detail of Corporate and Other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(Loss), net of tax ($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00" w:type="dxa"/>
            <w:vAlign w:val="bottom"/>
          </w:tcPr>
          <w:p>
            <w:pPr>
              <w:ind w:left="20"/>
              <w:spacing w:after="0"/>
              <w:rPr>
                <w:sz w:val="20"/>
                <w:szCs w:val="20"/>
                <w:color w:val="auto"/>
              </w:rPr>
            </w:pPr>
            <w:r>
              <w:rPr>
                <w:rFonts w:ascii="Arial" w:cs="Arial" w:eastAsia="Arial" w:hAnsi="Arial"/>
                <w:sz w:val="14"/>
                <w:szCs w:val="14"/>
                <w:color w:val="auto"/>
              </w:rPr>
              <w:t>Net interest expense</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(93)</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(89)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(79)</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62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(379)</w:t>
            </w:r>
          </w:p>
        </w:tc>
        <w:tc>
          <w:tcPr>
            <w:tcW w:w="140" w:type="dxa"/>
            <w:vAlign w:val="bottom"/>
          </w:tcPr>
          <w:p>
            <w:pPr>
              <w:spacing w:after="0"/>
              <w:rPr>
                <w:sz w:val="15"/>
                <w:szCs w:val="15"/>
                <w:color w:val="auto"/>
              </w:rPr>
            </w:pPr>
          </w:p>
        </w:tc>
      </w:tr>
      <w:tr>
        <w:trPr>
          <w:trHeight w:val="195"/>
        </w:trPr>
        <w:tc>
          <w:tcPr>
            <w:tcW w:w="2300" w:type="dxa"/>
            <w:vAlign w:val="bottom"/>
          </w:tcPr>
          <w:p>
            <w:pPr>
              <w:ind w:left="20"/>
              <w:spacing w:after="0"/>
              <w:rPr>
                <w:sz w:val="20"/>
                <w:szCs w:val="20"/>
                <w:color w:val="auto"/>
              </w:rPr>
            </w:pPr>
            <w:r>
              <w:rPr>
                <w:rFonts w:ascii="Arial" w:cs="Arial" w:eastAsia="Arial" w:hAnsi="Arial"/>
                <w:sz w:val="14"/>
                <w:szCs w:val="14"/>
                <w:color w:val="auto"/>
              </w:rPr>
              <w:t>Corporate G&amp;A expenses</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(105)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(99)</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(434)</w:t>
            </w:r>
          </w:p>
        </w:tc>
        <w:tc>
          <w:tcPr>
            <w:tcW w:w="62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(716)</w:t>
            </w:r>
          </w:p>
        </w:tc>
        <w:tc>
          <w:tcPr>
            <w:tcW w:w="140" w:type="dxa"/>
            <w:vAlign w:val="bottom"/>
            <w:shd w:val="clear" w:color="auto" w:fill="CCEEFF"/>
          </w:tcPr>
          <w:p>
            <w:pPr>
              <w:spacing w:after="0"/>
              <w:rPr>
                <w:sz w:val="16"/>
                <w:szCs w:val="16"/>
                <w:color w:val="auto"/>
              </w:rPr>
            </w:pPr>
          </w:p>
        </w:tc>
      </w:tr>
      <w:tr>
        <w:trPr>
          <w:trHeight w:val="203"/>
        </w:trPr>
        <w:tc>
          <w:tcPr>
            <w:tcW w:w="230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(32)</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62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(137)</w:t>
            </w:r>
          </w:p>
        </w:tc>
        <w:tc>
          <w:tcPr>
            <w:tcW w:w="140" w:type="dxa"/>
            <w:vAlign w:val="bottom"/>
            <w:shd w:val="clear" w:color="auto" w:fill="CCEEFF"/>
          </w:tcPr>
          <w:p>
            <w:pPr>
              <w:spacing w:after="0"/>
              <w:rPr>
                <w:sz w:val="17"/>
                <w:szCs w:val="17"/>
                <w:color w:val="auto"/>
              </w:rPr>
            </w:pPr>
          </w:p>
        </w:tc>
      </w:tr>
      <w:tr>
        <w:trPr>
          <w:trHeight w:val="20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51</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357</w:t>
            </w:r>
          </w:p>
        </w:tc>
        <w:tc>
          <w:tcPr>
            <w:tcW w:w="62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rPr>
              <w:t>352</w:t>
            </w:r>
          </w:p>
        </w:tc>
        <w:tc>
          <w:tcPr>
            <w:tcW w:w="140" w:type="dxa"/>
            <w:vAlign w:val="bottom"/>
            <w:tcBorders>
              <w:bottom w:val="single" w:sz="8" w:color="auto"/>
            </w:tcBorders>
            <w:shd w:val="clear" w:color="auto" w:fill="CCEEFF"/>
          </w:tcPr>
          <w:p>
            <w:pPr>
              <w:spacing w:after="0"/>
              <w:rPr>
                <w:sz w:val="17"/>
                <w:szCs w:val="17"/>
                <w:color w:val="auto"/>
              </w:rPr>
            </w:pPr>
          </w:p>
        </w:tc>
      </w:tr>
      <w:tr>
        <w:trPr>
          <w:trHeight w:val="21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(171)</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(249)</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(228)</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w:t>
            </w:r>
          </w:p>
        </w:tc>
        <w:tc>
          <w:tcPr>
            <w:tcW w:w="620" w:type="dxa"/>
            <w:vAlign w:val="bottom"/>
            <w:tcBorders>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rPr>
              <w:t>(880)</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-16510</wp:posOffset>
            </wp:positionV>
            <wp:extent cx="480060" cy="763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060" cy="763270"/>
                    </a:xfrm>
                    <a:prstGeom prst="rect">
                      <a:avLst/>
                    </a:prstGeom>
                    <a:noFill/>
                  </pic:spPr>
                </pic:pic>
              </a:graphicData>
            </a:graphic>
          </wp:anchor>
        </w:drawing>
      </w:r>
    </w:p>
    <w:p>
      <w:pPr>
        <w:ind w:left="20" w:right="900"/>
        <w:spacing w:after="0" w:line="261" w:lineRule="auto"/>
        <w:rPr>
          <w:sz w:val="20"/>
          <w:szCs w:val="20"/>
          <w:color w:val="auto"/>
        </w:rPr>
      </w:pPr>
      <w:r>
        <w:rPr>
          <w:rFonts w:ascii="Arial" w:cs="Arial" w:eastAsia="Arial" w:hAnsi="Arial"/>
          <w:sz w:val="14"/>
          <w:szCs w:val="14"/>
          <w:i w:val="1"/>
          <w:iCs w:val="1"/>
          <w:color w:val="auto"/>
        </w:rPr>
        <w:t>*Includes investment in new technologies or businesses outside of our normal scope of operations and licensing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jc w:val="right"/>
              <w:ind w:right="148"/>
              <w:spacing w:after="0"/>
              <w:rPr>
                <w:sz w:val="20"/>
                <w:szCs w:val="20"/>
                <w:color w:val="auto"/>
              </w:rPr>
            </w:pPr>
            <w:r>
              <w:rPr>
                <w:rFonts w:ascii="Arial" w:cs="Arial" w:eastAsia="Arial" w:hAnsi="Arial"/>
                <w:sz w:val="14"/>
                <w:szCs w:val="14"/>
                <w:color w:val="auto"/>
              </w:rPr>
              <w:t>(111)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(139)</w:t>
            </w:r>
          </w:p>
        </w:tc>
        <w:tc>
          <w:tcPr>
            <w:tcW w:w="1280" w:type="dxa"/>
            <w:vAlign w:val="bottom"/>
          </w:tcPr>
          <w:p>
            <w:pPr>
              <w:jc w:val="right"/>
              <w:ind w:right="668"/>
              <w:spacing w:after="0"/>
              <w:rPr>
                <w:sz w:val="20"/>
                <w:szCs w:val="20"/>
                <w:color w:val="auto"/>
              </w:rPr>
            </w:pPr>
            <w:r>
              <w:rPr>
                <w:rFonts w:ascii="Arial" w:cs="Arial" w:eastAsia="Arial" w:hAnsi="Arial"/>
                <w:sz w:val="14"/>
                <w:szCs w:val="14"/>
                <w:color w:val="auto"/>
              </w:rPr>
              <w:t>(152)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40" w:type="dxa"/>
            <w:vAlign w:val="bottom"/>
          </w:tcPr>
          <w:p>
            <w:pPr>
              <w:spacing w:after="0"/>
              <w:rPr>
                <w:sz w:val="17"/>
                <w:szCs w:val="17"/>
                <w:color w:val="auto"/>
              </w:rPr>
            </w:pPr>
          </w:p>
        </w:tc>
      </w:tr>
      <w:tr>
        <w:trPr>
          <w:trHeight w:val="195"/>
        </w:trPr>
        <w:tc>
          <w:tcPr>
            <w:tcW w:w="820" w:type="dxa"/>
            <w:vAlign w:val="bottom"/>
          </w:tcPr>
          <w:p>
            <w:pPr>
              <w:jc w:val="right"/>
              <w:ind w:right="148"/>
              <w:spacing w:after="0"/>
              <w:rPr>
                <w:sz w:val="20"/>
                <w:szCs w:val="20"/>
                <w:color w:val="auto"/>
              </w:rPr>
            </w:pPr>
            <w:r>
              <w:rPr>
                <w:rFonts w:ascii="Arial" w:cs="Arial" w:eastAsia="Arial" w:hAnsi="Arial"/>
                <w:sz w:val="14"/>
                <w:szCs w:val="14"/>
                <w:color w:val="auto"/>
              </w:rPr>
              <w:t>(110)</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(147)</w:t>
            </w:r>
          </w:p>
        </w:tc>
        <w:tc>
          <w:tcPr>
            <w:tcW w:w="1280" w:type="dxa"/>
            <w:vAlign w:val="bottom"/>
          </w:tcPr>
          <w:p>
            <w:pPr>
              <w:jc w:val="right"/>
              <w:ind w:right="668"/>
              <w:spacing w:after="0"/>
              <w:rPr>
                <w:sz w:val="20"/>
                <w:szCs w:val="20"/>
                <w:color w:val="auto"/>
              </w:rPr>
            </w:pPr>
            <w:r>
              <w:rPr>
                <w:rFonts w:ascii="Arial" w:cs="Arial" w:eastAsia="Arial" w:hAnsi="Arial"/>
                <w:sz w:val="14"/>
                <w:szCs w:val="14"/>
                <w:color w:val="auto"/>
              </w:rPr>
              <w:t>(163)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40" w:type="dxa"/>
            <w:vAlign w:val="bottom"/>
            <w:shd w:val="clear" w:color="auto" w:fill="CCEEFF"/>
          </w:tcPr>
          <w:p>
            <w:pPr>
              <w:spacing w:after="0"/>
              <w:rPr>
                <w:sz w:val="16"/>
                <w:szCs w:val="16"/>
                <w:color w:val="auto"/>
              </w:rPr>
            </w:pPr>
          </w:p>
        </w:tc>
      </w:tr>
      <w:tr>
        <w:trPr>
          <w:trHeight w:val="203"/>
        </w:trPr>
        <w:tc>
          <w:tcPr>
            <w:tcW w:w="820" w:type="dxa"/>
            <w:vAlign w:val="bottom"/>
          </w:tcPr>
          <w:p>
            <w:pPr>
              <w:jc w:val="right"/>
              <w:ind w:right="148"/>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w:t>
            </w:r>
          </w:p>
        </w:tc>
        <w:tc>
          <w:tcPr>
            <w:tcW w:w="1280" w:type="dxa"/>
            <w:vAlign w:val="bottom"/>
          </w:tcPr>
          <w:p>
            <w:pPr>
              <w:jc w:val="right"/>
              <w:ind w:right="668"/>
              <w:spacing w:after="0"/>
              <w:rPr>
                <w:sz w:val="20"/>
                <w:szCs w:val="20"/>
                <w:color w:val="auto"/>
              </w:rPr>
            </w:pPr>
            <w:r>
              <w:rPr>
                <w:rFonts w:ascii="Arial" w:cs="Arial" w:eastAsia="Arial" w:hAnsi="Arial"/>
                <w:sz w:val="14"/>
                <w:szCs w:val="14"/>
                <w:color w:val="auto"/>
              </w:rPr>
              <w:t>(88)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40" w:type="dxa"/>
            <w:vAlign w:val="bottom"/>
            <w:shd w:val="clear" w:color="auto" w:fill="CCEEFF"/>
          </w:tcPr>
          <w:p>
            <w:pPr>
              <w:spacing w:after="0"/>
              <w:rPr>
                <w:sz w:val="17"/>
                <w:szCs w:val="17"/>
                <w:color w:val="auto"/>
              </w:rPr>
            </w:pPr>
          </w:p>
        </w:tc>
      </w:tr>
      <w:tr>
        <w:trPr>
          <w:trHeight w:val="206"/>
        </w:trPr>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w:t>
            </w: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(69)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40" w:type="dxa"/>
            <w:vAlign w:val="bottom"/>
            <w:tcBorders>
              <w:bottom w:val="single" w:sz="8" w:color="auto"/>
            </w:tcBorders>
            <w:shd w:val="clear" w:color="auto" w:fill="CCEEFF"/>
          </w:tcPr>
          <w:p>
            <w:pPr>
              <w:spacing w:after="0"/>
              <w:rPr>
                <w:sz w:val="17"/>
                <w:szCs w:val="17"/>
                <w:color w:val="auto"/>
              </w:rPr>
            </w:pPr>
          </w:p>
        </w:tc>
      </w:tr>
      <w:tr>
        <w:trPr>
          <w:trHeight w:val="216"/>
        </w:trPr>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(256)</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(280)</w:t>
            </w: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(472)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-16510</wp:posOffset>
            </wp:positionV>
            <wp:extent cx="480060" cy="763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0060" cy="763270"/>
                    </a:xfrm>
                    <a:prstGeom prst="rect">
                      <a:avLst/>
                    </a:prstGeom>
                    <a:noFill/>
                  </pic:spPr>
                </pic:pic>
              </a:graphicData>
            </a:graphic>
          </wp:anchor>
        </w:drawing>
      </w:r>
    </w:p>
    <w:p>
      <w:pPr>
        <w:spacing w:after="0" w:line="556" w:lineRule="exact"/>
        <w:rPr>
          <w:sz w:val="20"/>
          <w:szCs w:val="20"/>
          <w:color w:val="auto"/>
        </w:rPr>
      </w:pPr>
    </w:p>
    <w:p>
      <w:pPr>
        <w:sectPr>
          <w:pgSz w:w="11900" w:h="16838" w:orient="portrait"/>
          <w:cols w:equalWidth="0" w:num="2">
            <w:col w:w="6460" w:space="80"/>
            <w:col w:w="3600"/>
          </w:cols>
          <w:pgMar w:left="320" w:top="1143" w:right="1439" w:bottom="1440" w:gutter="0" w:footer="0" w:header="0"/>
          <w:type w:val="continuous"/>
        </w:sectPr>
      </w:pP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and Other Interest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Expense, before-tax ($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Incurred interest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(255)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(255)</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(265)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40" w:type="dxa"/>
            <w:vAlign w:val="bottom"/>
          </w:tcPr>
          <w:p>
            <w:pPr>
              <w:spacing w:after="0"/>
              <w:rPr>
                <w:sz w:val="15"/>
                <w:szCs w:val="15"/>
                <w:color w:val="auto"/>
              </w:rPr>
            </w:pPr>
          </w:p>
        </w:tc>
      </w:tr>
      <w:tr>
        <w:trPr>
          <w:trHeight w:val="19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Capitalized interest*</w:t>
            </w: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50</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58</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66</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40" w:type="dxa"/>
            <w:vAlign w:val="bottom"/>
            <w:tcBorders>
              <w:bottom w:val="single" w:sz="8" w:color="auto"/>
            </w:tcBorders>
            <w:shd w:val="clear" w:color="auto" w:fill="CCEEFF"/>
          </w:tcPr>
          <w:p>
            <w:pPr>
              <w:spacing w:after="0"/>
              <w:rPr>
                <w:sz w:val="17"/>
                <w:szCs w:val="17"/>
                <w:color w:val="auto"/>
              </w:rPr>
            </w:pPr>
          </w:p>
        </w:tc>
      </w:tr>
      <w:tr>
        <w:trPr>
          <w:trHeight w:val="192"/>
        </w:trPr>
        <w:tc>
          <w:tcPr>
            <w:tcW w:w="2320" w:type="dxa"/>
            <w:vAlign w:val="bottom"/>
          </w:tcPr>
          <w:p>
            <w:pPr>
              <w:ind w:left="20"/>
              <w:spacing w:after="0"/>
              <w:rPr>
                <w:sz w:val="20"/>
                <w:szCs w:val="20"/>
                <w:color w:val="auto"/>
              </w:rPr>
            </w:pPr>
            <w:r>
              <w:rPr>
                <w:rFonts w:ascii="Arial" w:cs="Arial" w:eastAsia="Arial" w:hAnsi="Arial"/>
                <w:sz w:val="14"/>
                <w:szCs w:val="14"/>
                <w:color w:val="auto"/>
              </w:rPr>
              <w:t>Interest and debt expense</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(205)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(189)</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40" w:type="dxa"/>
            <w:vAlign w:val="bottom"/>
            <w:shd w:val="clear" w:color="auto" w:fill="CCEEFF"/>
          </w:tcPr>
          <w:p>
            <w:pPr>
              <w:spacing w:after="0"/>
              <w:rPr>
                <w:sz w:val="16"/>
                <w:szCs w:val="16"/>
                <w:color w:val="auto"/>
              </w:rPr>
            </w:pPr>
          </w:p>
        </w:tc>
      </w:tr>
      <w:tr>
        <w:trPr>
          <w:trHeight w:val="207"/>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income</w:t>
            </w: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101</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95</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105</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40" w:type="dxa"/>
            <w:vAlign w:val="bottom"/>
            <w:tcBorders>
              <w:bottom w:val="single" w:sz="8" w:color="auto"/>
            </w:tcBorders>
            <w:shd w:val="clear" w:color="auto" w:fill="CCEEFF"/>
          </w:tcPr>
          <w:p>
            <w:pPr>
              <w:spacing w:after="0"/>
              <w:rPr>
                <w:sz w:val="17"/>
                <w:szCs w:val="17"/>
                <w:color w:val="auto"/>
              </w:rPr>
            </w:pPr>
          </w:p>
        </w:tc>
      </w:tr>
      <w:tr>
        <w:trPr>
          <w:trHeight w:val="2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Interest Expense</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(104)</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(103)</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(84)</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-16510</wp:posOffset>
            </wp:positionV>
            <wp:extent cx="480060" cy="677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060" cy="677545"/>
                    </a:xfrm>
                    <a:prstGeom prst="rect">
                      <a:avLst/>
                    </a:prstGeom>
                    <a:noFill/>
                  </pic:spPr>
                </pic:pic>
              </a:graphicData>
            </a:graphic>
          </wp:anchor>
        </w:drawing>
      </w:r>
    </w:p>
    <w:p>
      <w:pPr>
        <w:ind w:left="20" w:right="840"/>
        <w:spacing w:after="0" w:line="261" w:lineRule="auto"/>
        <w:rPr>
          <w:sz w:val="20"/>
          <w:szCs w:val="20"/>
          <w:color w:val="auto"/>
        </w:rPr>
      </w:pPr>
      <w:r>
        <w:rPr>
          <w:rFonts w:ascii="Arial" w:cs="Arial" w:eastAsia="Arial" w:hAnsi="Arial"/>
          <w:sz w:val="14"/>
          <w:szCs w:val="14"/>
          <w:i w:val="1"/>
          <w:iCs w:val="1"/>
          <w:color w:val="auto"/>
        </w:rPr>
        <w:t>*Capitalized interest represents before-tax interest from external borrowings which is capitalized on major projects with an expected construction period of one year or longer.</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jc w:val="right"/>
              <w:ind w:right="148"/>
              <w:spacing w:after="0"/>
              <w:rPr>
                <w:sz w:val="20"/>
                <w:szCs w:val="20"/>
                <w:color w:val="auto"/>
              </w:rPr>
            </w:pPr>
            <w:r>
              <w:rPr>
                <w:rFonts w:ascii="Arial" w:cs="Arial" w:eastAsia="Arial" w:hAnsi="Arial"/>
                <w:sz w:val="14"/>
                <w:szCs w:val="14"/>
                <w:color w:val="auto"/>
              </w:rPr>
              <w:t>(285)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(324)</w:t>
            </w:r>
          </w:p>
        </w:tc>
        <w:tc>
          <w:tcPr>
            <w:tcW w:w="1280" w:type="dxa"/>
            <w:vAlign w:val="bottom"/>
          </w:tcPr>
          <w:p>
            <w:pPr>
              <w:jc w:val="right"/>
              <w:ind w:right="66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rPr>
              <w:t>(934)</w:t>
            </w:r>
          </w:p>
        </w:tc>
        <w:tc>
          <w:tcPr>
            <w:tcW w:w="140" w:type="dxa"/>
            <w:vAlign w:val="bottom"/>
          </w:tcPr>
          <w:p>
            <w:pPr>
              <w:spacing w:after="0"/>
              <w:rPr>
                <w:sz w:val="17"/>
                <w:szCs w:val="17"/>
                <w:color w:val="auto"/>
              </w:rPr>
            </w:pPr>
          </w:p>
        </w:tc>
      </w:tr>
      <w:tr>
        <w:trPr>
          <w:trHeight w:val="198"/>
        </w:trPr>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80</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92</w:t>
            </w: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102</w:t>
            </w:r>
          </w:p>
        </w:tc>
        <w:tc>
          <w:tcPr>
            <w:tcW w:w="600" w:type="dxa"/>
            <w:vAlign w:val="bottom"/>
            <w:tcBorders>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rPr>
              <w:t>274</w:t>
            </w:r>
          </w:p>
        </w:tc>
        <w:tc>
          <w:tcPr>
            <w:tcW w:w="140" w:type="dxa"/>
            <w:vAlign w:val="bottom"/>
            <w:tcBorders>
              <w:bottom w:val="single" w:sz="8" w:color="auto"/>
            </w:tcBorders>
            <w:shd w:val="clear" w:color="auto" w:fill="CCEEFF"/>
          </w:tcPr>
          <w:p>
            <w:pPr>
              <w:spacing w:after="0"/>
              <w:rPr>
                <w:sz w:val="17"/>
                <w:szCs w:val="17"/>
                <w:color w:val="auto"/>
              </w:rPr>
            </w:pPr>
          </w:p>
        </w:tc>
      </w:tr>
      <w:tr>
        <w:trPr>
          <w:trHeight w:val="192"/>
        </w:trPr>
        <w:tc>
          <w:tcPr>
            <w:tcW w:w="820" w:type="dxa"/>
            <w:vAlign w:val="bottom"/>
          </w:tcPr>
          <w:p>
            <w:pPr>
              <w:jc w:val="right"/>
              <w:ind w:right="148"/>
              <w:spacing w:after="0"/>
              <w:rPr>
                <w:sz w:val="20"/>
                <w:szCs w:val="20"/>
                <w:color w:val="auto"/>
              </w:rPr>
            </w:pPr>
            <w:r>
              <w:rPr>
                <w:rFonts w:ascii="Arial" w:cs="Arial" w:eastAsia="Arial" w:hAnsi="Arial"/>
                <w:sz w:val="14"/>
                <w:szCs w:val="14"/>
                <w:color w:val="auto"/>
              </w:rPr>
              <w:t>(205)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(232)</w:t>
            </w:r>
          </w:p>
        </w:tc>
        <w:tc>
          <w:tcPr>
            <w:tcW w:w="1280" w:type="dxa"/>
            <w:vAlign w:val="bottom"/>
          </w:tcPr>
          <w:p>
            <w:pPr>
              <w:jc w:val="right"/>
              <w:ind w:right="668"/>
              <w:spacing w:after="0"/>
              <w:rPr>
                <w:sz w:val="20"/>
                <w:szCs w:val="20"/>
                <w:color w:val="auto"/>
              </w:rPr>
            </w:pPr>
            <w:r>
              <w:rPr>
                <w:rFonts w:ascii="Arial" w:cs="Arial" w:eastAsia="Arial" w:hAnsi="Arial"/>
                <w:sz w:val="14"/>
                <w:szCs w:val="14"/>
                <w:color w:val="auto"/>
              </w:rPr>
              <w:t>(223)</w:t>
            </w:r>
          </w:p>
        </w:tc>
        <w:tc>
          <w:tcPr>
            <w:tcW w:w="60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rPr>
              <w:t>(660)</w:t>
            </w:r>
          </w:p>
        </w:tc>
        <w:tc>
          <w:tcPr>
            <w:tcW w:w="140" w:type="dxa"/>
            <w:vAlign w:val="bottom"/>
            <w:shd w:val="clear" w:color="auto" w:fill="CCEEFF"/>
          </w:tcPr>
          <w:p>
            <w:pPr>
              <w:spacing w:after="0"/>
              <w:rPr>
                <w:sz w:val="16"/>
                <w:szCs w:val="16"/>
                <w:color w:val="auto"/>
              </w:rPr>
            </w:pPr>
          </w:p>
        </w:tc>
      </w:tr>
      <w:tr>
        <w:trPr>
          <w:trHeight w:val="207"/>
        </w:trPr>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74</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65</w:t>
            </w: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60</w:t>
            </w:r>
          </w:p>
        </w:tc>
        <w:tc>
          <w:tcPr>
            <w:tcW w:w="600" w:type="dxa"/>
            <w:vAlign w:val="bottom"/>
            <w:tcBorders>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rPr>
              <w:t>199</w:t>
            </w:r>
          </w:p>
        </w:tc>
        <w:tc>
          <w:tcPr>
            <w:tcW w:w="140" w:type="dxa"/>
            <w:vAlign w:val="bottom"/>
            <w:tcBorders>
              <w:bottom w:val="single" w:sz="8" w:color="auto"/>
            </w:tcBorders>
            <w:shd w:val="clear" w:color="auto" w:fill="CCEEFF"/>
          </w:tcPr>
          <w:p>
            <w:pPr>
              <w:spacing w:after="0"/>
              <w:rPr>
                <w:sz w:val="17"/>
                <w:szCs w:val="17"/>
                <w:color w:val="auto"/>
              </w:rPr>
            </w:pPr>
          </w:p>
        </w:tc>
      </w:tr>
      <w:tr>
        <w:trPr>
          <w:trHeight w:val="216"/>
        </w:trPr>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(131)</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(167)</w:t>
            </w: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(163)</w:t>
            </w:r>
          </w:p>
        </w:tc>
        <w:tc>
          <w:tcPr>
            <w:tcW w:w="600" w:type="dxa"/>
            <w:vAlign w:val="bottom"/>
            <w:tcBorders>
              <w:bottom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rPr>
              <w:t>(461)</w:t>
            </w:r>
          </w:p>
        </w:tc>
        <w:tc>
          <w:tcPr>
            <w:tcW w:w="140" w:type="dxa"/>
            <w:vAlign w:val="bottom"/>
            <w:tcBorders>
              <w:bottom w:val="single" w:sz="8" w:color="auto"/>
            </w:tcBorders>
            <w:shd w:val="clear" w:color="auto" w:fill="CCEEFF"/>
          </w:tcPr>
          <w:p>
            <w:pPr>
              <w:spacing w:after="0"/>
              <w:rPr>
                <w:sz w:val="18"/>
                <w:szCs w:val="18"/>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-16510</wp:posOffset>
            </wp:positionV>
            <wp:extent cx="480060" cy="677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0060" cy="677545"/>
                    </a:xfrm>
                    <a:prstGeom prst="rect">
                      <a:avLst/>
                    </a:prstGeom>
                    <a:noFill/>
                  </pic:spPr>
                </pic:pic>
              </a:graphicData>
            </a:graphic>
          </wp:anchor>
        </w:drawing>
      </w:r>
    </w:p>
    <w:p>
      <w:pPr>
        <w:spacing w:after="0" w:line="556" w:lineRule="exact"/>
        <w:rPr>
          <w:sz w:val="20"/>
          <w:szCs w:val="20"/>
          <w:color w:val="auto"/>
        </w:rPr>
      </w:pPr>
    </w:p>
    <w:p>
      <w:pPr>
        <w:sectPr>
          <w:pgSz w:w="11900" w:h="16838" w:orient="portrait"/>
          <w:cols w:equalWidth="0" w:num="2">
            <w:col w:w="6460" w:space="80"/>
            <w:col w:w="3600"/>
          </w:cols>
          <w:pgMar w:left="320" w:top="1143" w:right="14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Total debt ($ Millions)</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18,417</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18,352</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18,304</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24,324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24,324</w:t>
            </w:r>
          </w:p>
        </w:tc>
        <w:tc>
          <w:tcPr>
            <w:tcW w:w="140" w:type="dxa"/>
            <w:vAlign w:val="bottom"/>
          </w:tcPr>
          <w:p>
            <w:pPr>
              <w:spacing w:after="0"/>
              <w:rPr>
                <w:sz w:val="17"/>
                <w:szCs w:val="17"/>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4"/>
                <w:szCs w:val="14"/>
                <w:color w:val="auto"/>
              </w:rPr>
              <w:t>23,784</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23,529</w:t>
            </w:r>
          </w:p>
        </w:tc>
        <w:tc>
          <w:tcPr>
            <w:tcW w:w="1300" w:type="dxa"/>
            <w:vAlign w:val="bottom"/>
          </w:tcPr>
          <w:p>
            <w:pPr>
              <w:jc w:val="right"/>
              <w:ind w:right="708"/>
              <w:spacing w:after="0"/>
              <w:rPr>
                <w:sz w:val="20"/>
                <w:szCs w:val="20"/>
                <w:color w:val="auto"/>
              </w:rPr>
            </w:pPr>
            <w:r>
              <w:rPr>
                <w:rFonts w:ascii="Arial" w:cs="Arial" w:eastAsia="Arial" w:hAnsi="Arial"/>
                <w:sz w:val="14"/>
                <w:szCs w:val="14"/>
                <w:color w:val="auto"/>
              </w:rPr>
              <w:t>23,482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23,482</w:t>
            </w:r>
          </w:p>
        </w:tc>
        <w:tc>
          <w:tcPr>
            <w:tcW w:w="140" w:type="dxa"/>
            <w:vAlign w:val="bottom"/>
          </w:tcPr>
          <w:p>
            <w:pPr>
              <w:spacing w:after="0"/>
              <w:rPr>
                <w:sz w:val="17"/>
                <w:szCs w:val="17"/>
                <w:color w:val="auto"/>
              </w:rPr>
            </w:pPr>
          </w:p>
        </w:tc>
      </w:tr>
      <w:tr>
        <w:trPr>
          <w:trHeight w:val="20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Debt-to-capital ratio (%)</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27 %</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27 %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r>
      <w:tr>
        <w:trPr>
          <w:trHeight w:val="334"/>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Equity ($ Millions)</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49,325</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49,745</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49,881</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64,796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64,796</w:t>
            </w:r>
          </w:p>
        </w:tc>
        <w:tc>
          <w:tcPr>
            <w:tcW w:w="140" w:type="dxa"/>
            <w:vAlign w:val="bottom"/>
            <w:shd w:val="clear" w:color="auto" w:fill="CCEEFF"/>
          </w:tcPr>
          <w:p>
            <w:pPr>
              <w:spacing w:after="0"/>
              <w:rPr>
                <w:sz w:val="24"/>
                <w:szCs w:val="24"/>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4"/>
                <w:szCs w:val="14"/>
                <w:color w:val="auto"/>
              </w:rPr>
              <w:t>65,238</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65,572</w:t>
            </w:r>
          </w:p>
        </w:tc>
        <w:tc>
          <w:tcPr>
            <w:tcW w:w="1300" w:type="dxa"/>
            <w:vAlign w:val="bottom"/>
          </w:tcPr>
          <w:p>
            <w:pPr>
              <w:jc w:val="right"/>
              <w:ind w:right="708"/>
              <w:spacing w:after="0"/>
              <w:rPr>
                <w:sz w:val="20"/>
                <w:szCs w:val="20"/>
                <w:color w:val="auto"/>
              </w:rPr>
            </w:pPr>
            <w:r>
              <w:rPr>
                <w:rFonts w:ascii="Arial" w:cs="Arial" w:eastAsia="Arial" w:hAnsi="Arial"/>
                <w:sz w:val="14"/>
                <w:szCs w:val="14"/>
                <w:color w:val="auto"/>
              </w:rPr>
              <w:t>64,923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64,923</w:t>
            </w:r>
          </w:p>
        </w:tc>
        <w:tc>
          <w:tcPr>
            <w:tcW w:w="140" w:type="dxa"/>
            <w:vAlign w:val="bottom"/>
            <w:shd w:val="clear" w:color="auto" w:fill="CCEEFF"/>
          </w:tcPr>
          <w:p>
            <w:pPr>
              <w:spacing w:after="0"/>
              <w:rPr>
                <w:sz w:val="24"/>
                <w:szCs w:val="24"/>
                <w:color w:val="auto"/>
              </w:rPr>
            </w:pPr>
          </w:p>
        </w:tc>
      </w:tr>
      <w:tr>
        <w:trPr>
          <w:trHeight w:val="627"/>
        </w:trPr>
        <w:tc>
          <w:tcPr>
            <w:tcW w:w="2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0000FF"/>
              </w:rPr>
              <w:t>REFERENCE</w:t>
            </w:r>
          </w:p>
        </w:tc>
        <w:tc>
          <w:tcPr>
            <w:tcW w:w="10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351"/>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Commonly Used Abbreviations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Earnings</w:t>
            </w:r>
          </w:p>
        </w:tc>
        <w:tc>
          <w:tcPr>
            <w:tcW w:w="3400" w:type="dxa"/>
            <w:vAlign w:val="bottom"/>
            <w:gridSpan w:val="5"/>
          </w:tcPr>
          <w:p>
            <w:pPr>
              <w:ind w:left="280"/>
              <w:spacing w:after="0"/>
              <w:rPr>
                <w:sz w:val="20"/>
                <w:szCs w:val="20"/>
                <w:color w:val="auto"/>
              </w:rPr>
            </w:pPr>
            <w:r>
              <w:rPr>
                <w:rFonts w:ascii="Arial" w:cs="Arial" w:eastAsia="Arial" w:hAnsi="Arial"/>
                <w:sz w:val="14"/>
                <w:szCs w:val="14"/>
                <w:color w:val="auto"/>
              </w:rPr>
              <w:t>Net Income (Loss) Attributable to ConocoPhillips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DD&amp;A</w:t>
            </w:r>
          </w:p>
        </w:tc>
        <w:tc>
          <w:tcPr>
            <w:tcW w:w="3400" w:type="dxa"/>
            <w:vAlign w:val="bottom"/>
            <w:gridSpan w:val="5"/>
          </w:tcPr>
          <w:p>
            <w:pPr>
              <w:ind w:left="280"/>
              <w:spacing w:after="0"/>
              <w:rPr>
                <w:sz w:val="20"/>
                <w:szCs w:val="20"/>
                <w:color w:val="auto"/>
              </w:rPr>
            </w:pPr>
            <w:r>
              <w:rPr>
                <w:rFonts w:ascii="Arial" w:cs="Arial" w:eastAsia="Arial" w:hAnsi="Arial"/>
                <w:sz w:val="14"/>
                <w:szCs w:val="14"/>
                <w:color w:val="auto"/>
              </w:rPr>
              <w:t>Depreciation, Depletion and Amortization</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G&amp;G</w:t>
            </w:r>
          </w:p>
        </w:tc>
        <w:tc>
          <w:tcPr>
            <w:tcW w:w="2580" w:type="dxa"/>
            <w:vAlign w:val="bottom"/>
            <w:gridSpan w:val="3"/>
          </w:tcPr>
          <w:p>
            <w:pPr>
              <w:ind w:left="280"/>
              <w:spacing w:after="0"/>
              <w:rPr>
                <w:sz w:val="20"/>
                <w:szCs w:val="20"/>
                <w:color w:val="auto"/>
              </w:rPr>
            </w:pPr>
            <w:r>
              <w:rPr>
                <w:rFonts w:ascii="Arial" w:cs="Arial" w:eastAsia="Arial" w:hAnsi="Arial"/>
                <w:sz w:val="14"/>
                <w:szCs w:val="14"/>
                <w:color w:val="auto"/>
              </w:rPr>
              <w:t>Geological and Geophysical</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G&amp;A</w:t>
            </w:r>
          </w:p>
        </w:tc>
        <w:tc>
          <w:tcPr>
            <w:tcW w:w="2580" w:type="dxa"/>
            <w:vAlign w:val="bottom"/>
            <w:gridSpan w:val="3"/>
          </w:tcPr>
          <w:p>
            <w:pPr>
              <w:ind w:left="280"/>
              <w:spacing w:after="0"/>
              <w:rPr>
                <w:sz w:val="20"/>
                <w:szCs w:val="20"/>
                <w:color w:val="auto"/>
              </w:rPr>
            </w:pPr>
            <w:r>
              <w:rPr>
                <w:rFonts w:ascii="Arial" w:cs="Arial" w:eastAsia="Arial" w:hAnsi="Arial"/>
                <w:sz w:val="14"/>
                <w:szCs w:val="14"/>
                <w:color w:val="auto"/>
              </w:rPr>
              <w:t>General and Administrative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JCC</w:t>
            </w:r>
          </w:p>
        </w:tc>
        <w:tc>
          <w:tcPr>
            <w:tcW w:w="1880" w:type="dxa"/>
            <w:vAlign w:val="bottom"/>
            <w:gridSpan w:val="2"/>
          </w:tcPr>
          <w:p>
            <w:pPr>
              <w:ind w:left="280"/>
              <w:spacing w:after="0"/>
              <w:rPr>
                <w:sz w:val="20"/>
                <w:szCs w:val="20"/>
                <w:color w:val="auto"/>
              </w:rPr>
            </w:pPr>
            <w:r>
              <w:rPr>
                <w:rFonts w:ascii="Arial" w:cs="Arial" w:eastAsia="Arial" w:hAnsi="Arial"/>
                <w:sz w:val="14"/>
                <w:szCs w:val="14"/>
                <w:color w:val="auto"/>
              </w:rPr>
              <w:t>Japan Crude Cocktail</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LNG</w:t>
            </w:r>
          </w:p>
        </w:tc>
        <w:tc>
          <w:tcPr>
            <w:tcW w:w="1880" w:type="dxa"/>
            <w:vAlign w:val="bottom"/>
            <w:gridSpan w:val="2"/>
          </w:tcPr>
          <w:p>
            <w:pPr>
              <w:ind w:left="280"/>
              <w:spacing w:after="0"/>
              <w:rPr>
                <w:sz w:val="20"/>
                <w:szCs w:val="20"/>
                <w:color w:val="auto"/>
              </w:rPr>
            </w:pPr>
            <w:r>
              <w:rPr>
                <w:rFonts w:ascii="Arial" w:cs="Arial" w:eastAsia="Arial" w:hAnsi="Arial"/>
                <w:sz w:val="14"/>
                <w:szCs w:val="14"/>
                <w:color w:val="auto"/>
              </w:rPr>
              <w:t>Liquefied Natural Gas</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NGLs</w:t>
            </w:r>
          </w:p>
        </w:tc>
        <w:tc>
          <w:tcPr>
            <w:tcW w:w="1880" w:type="dxa"/>
            <w:vAlign w:val="bottom"/>
            <w:gridSpan w:val="2"/>
          </w:tcPr>
          <w:p>
            <w:pPr>
              <w:ind w:left="280"/>
              <w:spacing w:after="0"/>
              <w:rPr>
                <w:sz w:val="20"/>
                <w:szCs w:val="20"/>
                <w:color w:val="auto"/>
              </w:rPr>
            </w:pPr>
            <w:r>
              <w:rPr>
                <w:rFonts w:ascii="Arial" w:cs="Arial" w:eastAsia="Arial" w:hAnsi="Arial"/>
                <w:sz w:val="14"/>
                <w:szCs w:val="14"/>
                <w:color w:val="auto"/>
              </w:rPr>
              <w:t>Natural Gas Liquids</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WCS</w:t>
            </w:r>
          </w:p>
        </w:tc>
        <w:tc>
          <w:tcPr>
            <w:tcW w:w="2580" w:type="dxa"/>
            <w:vAlign w:val="bottom"/>
            <w:gridSpan w:val="3"/>
          </w:tcPr>
          <w:p>
            <w:pPr>
              <w:ind w:left="280"/>
              <w:spacing w:after="0"/>
              <w:rPr>
                <w:sz w:val="20"/>
                <w:szCs w:val="20"/>
                <w:color w:val="auto"/>
              </w:rPr>
            </w:pPr>
            <w:r>
              <w:rPr>
                <w:rFonts w:ascii="Arial" w:cs="Arial" w:eastAsia="Arial" w:hAnsi="Arial"/>
                <w:sz w:val="14"/>
                <w:szCs w:val="14"/>
                <w:color w:val="auto"/>
              </w:rPr>
              <w:t>Western Canadian Select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WTI</w:t>
            </w:r>
          </w:p>
        </w:tc>
        <w:tc>
          <w:tcPr>
            <w:tcW w:w="1880" w:type="dxa"/>
            <w:vAlign w:val="bottom"/>
            <w:gridSpan w:val="2"/>
          </w:tcPr>
          <w:p>
            <w:pPr>
              <w:ind w:left="280"/>
              <w:spacing w:after="0"/>
              <w:rPr>
                <w:sz w:val="20"/>
                <w:szCs w:val="20"/>
                <w:color w:val="auto"/>
              </w:rPr>
            </w:pPr>
            <w:r>
              <w:rPr>
                <w:rFonts w:ascii="Arial" w:cs="Arial" w:eastAsia="Arial" w:hAnsi="Arial"/>
                <w:sz w:val="14"/>
                <w:szCs w:val="14"/>
                <w:color w:val="auto"/>
              </w:rPr>
              <w:t>West Texas Intermediate</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41"/>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Units of Measurement</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BBL</w:t>
            </w:r>
          </w:p>
        </w:tc>
        <w:tc>
          <w:tcPr>
            <w:tcW w:w="1080" w:type="dxa"/>
            <w:vAlign w:val="bottom"/>
          </w:tcPr>
          <w:p>
            <w:pPr>
              <w:ind w:left="280"/>
              <w:spacing w:after="0"/>
              <w:rPr>
                <w:sz w:val="20"/>
                <w:szCs w:val="20"/>
                <w:color w:val="auto"/>
              </w:rPr>
            </w:pPr>
            <w:r>
              <w:rPr>
                <w:rFonts w:ascii="Arial" w:cs="Arial" w:eastAsia="Arial" w:hAnsi="Arial"/>
                <w:sz w:val="14"/>
                <w:szCs w:val="14"/>
                <w:color w:val="auto"/>
              </w:rPr>
              <w:t>Barrel</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BOE</w:t>
            </w:r>
          </w:p>
        </w:tc>
        <w:tc>
          <w:tcPr>
            <w:tcW w:w="1880" w:type="dxa"/>
            <w:vAlign w:val="bottom"/>
            <w:gridSpan w:val="2"/>
          </w:tcPr>
          <w:p>
            <w:pPr>
              <w:ind w:left="280"/>
              <w:spacing w:after="0"/>
              <w:rPr>
                <w:sz w:val="20"/>
                <w:szCs w:val="20"/>
                <w:color w:val="auto"/>
              </w:rPr>
            </w:pPr>
            <w:r>
              <w:rPr>
                <w:rFonts w:ascii="Arial" w:cs="Arial" w:eastAsia="Arial" w:hAnsi="Arial"/>
                <w:sz w:val="14"/>
                <w:szCs w:val="14"/>
                <w:color w:val="auto"/>
              </w:rPr>
              <w:t>Barrel of Oil Equivalent</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MMBBL</w:t>
            </w:r>
          </w:p>
        </w:tc>
        <w:tc>
          <w:tcPr>
            <w:tcW w:w="1880" w:type="dxa"/>
            <w:vAlign w:val="bottom"/>
            <w:gridSpan w:val="2"/>
          </w:tcPr>
          <w:p>
            <w:pPr>
              <w:ind w:left="280"/>
              <w:spacing w:after="0"/>
              <w:rPr>
                <w:sz w:val="20"/>
                <w:szCs w:val="20"/>
                <w:color w:val="auto"/>
              </w:rPr>
            </w:pPr>
            <w:r>
              <w:rPr>
                <w:rFonts w:ascii="Arial" w:cs="Arial" w:eastAsia="Arial" w:hAnsi="Arial"/>
                <w:sz w:val="14"/>
                <w:szCs w:val="14"/>
                <w:color w:val="auto"/>
              </w:rPr>
              <w:t>Million of Barrels</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MBD</w:t>
            </w:r>
          </w:p>
        </w:tc>
        <w:tc>
          <w:tcPr>
            <w:tcW w:w="2580" w:type="dxa"/>
            <w:vAlign w:val="bottom"/>
            <w:gridSpan w:val="3"/>
          </w:tcPr>
          <w:p>
            <w:pPr>
              <w:ind w:left="280"/>
              <w:spacing w:after="0"/>
              <w:rPr>
                <w:sz w:val="20"/>
                <w:szCs w:val="20"/>
                <w:color w:val="auto"/>
              </w:rPr>
            </w:pPr>
            <w:r>
              <w:rPr>
                <w:rFonts w:ascii="Arial" w:cs="Arial" w:eastAsia="Arial" w:hAnsi="Arial"/>
                <w:sz w:val="14"/>
                <w:szCs w:val="14"/>
                <w:color w:val="auto"/>
              </w:rPr>
              <w:t>Thousand of Barrels per Day</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MBOED</w:t>
            </w:r>
          </w:p>
        </w:tc>
        <w:tc>
          <w:tcPr>
            <w:tcW w:w="3400" w:type="dxa"/>
            <w:vAlign w:val="bottom"/>
            <w:gridSpan w:val="5"/>
          </w:tcPr>
          <w:p>
            <w:pPr>
              <w:ind w:left="280"/>
              <w:spacing w:after="0"/>
              <w:rPr>
                <w:sz w:val="20"/>
                <w:szCs w:val="20"/>
                <w:color w:val="auto"/>
              </w:rPr>
            </w:pPr>
            <w:r>
              <w:rPr>
                <w:rFonts w:ascii="Arial" w:cs="Arial" w:eastAsia="Arial" w:hAnsi="Arial"/>
                <w:sz w:val="14"/>
                <w:szCs w:val="14"/>
                <w:color w:val="auto"/>
              </w:rPr>
              <w:t>Thousand of Barrels of Oil Equivalent per Day</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MCF</w:t>
            </w:r>
          </w:p>
        </w:tc>
        <w:tc>
          <w:tcPr>
            <w:tcW w:w="1880" w:type="dxa"/>
            <w:vAlign w:val="bottom"/>
            <w:gridSpan w:val="2"/>
          </w:tcPr>
          <w:p>
            <w:pPr>
              <w:ind w:left="280"/>
              <w:spacing w:after="0"/>
              <w:rPr>
                <w:sz w:val="20"/>
                <w:szCs w:val="20"/>
                <w:color w:val="auto"/>
              </w:rPr>
            </w:pPr>
            <w:r>
              <w:rPr>
                <w:rFonts w:ascii="Arial" w:cs="Arial" w:eastAsia="Arial" w:hAnsi="Arial"/>
                <w:sz w:val="14"/>
                <w:szCs w:val="14"/>
                <w:color w:val="auto"/>
              </w:rPr>
              <w:t>Thousand Cubic Feet</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MMBTU</w:t>
            </w:r>
          </w:p>
        </w:tc>
        <w:tc>
          <w:tcPr>
            <w:tcW w:w="2580" w:type="dxa"/>
            <w:vAlign w:val="bottom"/>
            <w:gridSpan w:val="3"/>
          </w:tcPr>
          <w:p>
            <w:pPr>
              <w:ind w:left="280"/>
              <w:spacing w:after="0"/>
              <w:rPr>
                <w:sz w:val="20"/>
                <w:szCs w:val="20"/>
                <w:color w:val="auto"/>
              </w:rPr>
            </w:pPr>
            <w:r>
              <w:rPr>
                <w:rFonts w:ascii="Arial" w:cs="Arial" w:eastAsia="Arial" w:hAnsi="Arial"/>
                <w:sz w:val="14"/>
                <w:szCs w:val="14"/>
                <w:color w:val="auto"/>
              </w:rPr>
              <w:t>Million British Thermal Units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MMCFD</w:t>
            </w:r>
          </w:p>
        </w:tc>
        <w:tc>
          <w:tcPr>
            <w:tcW w:w="2580" w:type="dxa"/>
            <w:vAlign w:val="bottom"/>
            <w:gridSpan w:val="3"/>
          </w:tcPr>
          <w:p>
            <w:pPr>
              <w:ind w:left="280"/>
              <w:spacing w:after="0"/>
              <w:rPr>
                <w:sz w:val="20"/>
                <w:szCs w:val="20"/>
                <w:color w:val="auto"/>
              </w:rPr>
            </w:pPr>
            <w:r>
              <w:rPr>
                <w:rFonts w:ascii="Arial" w:cs="Arial" w:eastAsia="Arial" w:hAnsi="Arial"/>
                <w:sz w:val="14"/>
                <w:szCs w:val="14"/>
                <w:color w:val="auto"/>
              </w:rPr>
              <w:t>Million Cubic Feet per Day</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140"/>
      </w:cols>
      <w:pgMar w:left="320" w:top="1143" w:right="1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2025-11-06T06:23:23Z</dcterms:created>
  <dcterms:modified xsi:type="dcterms:W3CDTF">2025-11-06T06:23:23Z</dcterms:modified>
</cp:coreProperties>
</file>